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方正小标宋_GBK" w:hAnsi="方正小标宋_GBK" w:eastAsia="方正小标宋_GBK" w:cs="方正小标宋_GBK"/>
          <w:spacing w:val="-5"/>
          <w:sz w:val="32"/>
          <w:szCs w:val="32"/>
        </w:rPr>
      </w:pPr>
      <w:r>
        <w:rPr>
          <w:rFonts w:hint="eastAsia" w:ascii="方正小标宋_GBK" w:hAnsi="方正小标宋_GBK" w:eastAsia="方正小标宋_GBK" w:cs="方正小标宋_GBK"/>
          <w:spacing w:val="-5"/>
          <w:sz w:val="32"/>
          <w:szCs w:val="32"/>
        </w:rPr>
        <w:t>英大集团2022年社会招聘岗位一览表</w:t>
      </w:r>
    </w:p>
    <w:tbl>
      <w:tblPr>
        <w:tblStyle w:val="5"/>
        <w:tblW w:w="15619" w:type="dxa"/>
        <w:jc w:val="center"/>
        <w:tblInd w:w="0" w:type="dxa"/>
        <w:tblLayout w:type="fixed"/>
        <w:tblCellMar>
          <w:top w:w="0" w:type="dxa"/>
          <w:left w:w="108" w:type="dxa"/>
          <w:bottom w:w="0" w:type="dxa"/>
          <w:right w:w="108" w:type="dxa"/>
        </w:tblCellMar>
      </w:tblPr>
      <w:tblGrid>
        <w:gridCol w:w="405"/>
        <w:gridCol w:w="853"/>
        <w:gridCol w:w="1064"/>
        <w:gridCol w:w="494"/>
        <w:gridCol w:w="6200"/>
        <w:gridCol w:w="6603"/>
      </w:tblGrid>
      <w:tr>
        <w:tblPrEx>
          <w:tblLayout w:type="fixed"/>
          <w:tblCellMar>
            <w:top w:w="0" w:type="dxa"/>
            <w:left w:w="108" w:type="dxa"/>
            <w:bottom w:w="0" w:type="dxa"/>
            <w:right w:w="108" w:type="dxa"/>
          </w:tblCellMar>
        </w:tblPrEx>
        <w:trPr>
          <w:trHeight w:val="459" w:hRule="exact"/>
          <w:jc w:val="center"/>
        </w:trPr>
        <w:tc>
          <w:tcPr>
            <w:tcW w:w="1561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textAlignment w:val="center"/>
              <w:rPr>
                <w:rFonts w:ascii="方正仿宋_GBK" w:hAnsi="方正仿宋_GB2312" w:eastAsia="方正仿宋_GBK" w:cs="方正仿宋_GB2312"/>
                <w:b/>
                <w:bCs/>
                <w:color w:val="000000"/>
                <w:sz w:val="24"/>
                <w:szCs w:val="24"/>
              </w:rPr>
            </w:pPr>
            <w:r>
              <w:rPr>
                <w:rFonts w:hint="eastAsia" w:ascii="方正仿宋_GBK" w:hAnsi="方正仿宋_GB2312" w:eastAsia="方正仿宋_GBK" w:cs="方正仿宋_GB2312"/>
                <w:b/>
                <w:bCs/>
                <w:color w:val="000000"/>
                <w:sz w:val="24"/>
                <w:szCs w:val="24"/>
              </w:rPr>
              <w:t>英大保险资产管理有限公司：</w:t>
            </w:r>
          </w:p>
        </w:tc>
      </w:tr>
      <w:tr>
        <w:tblPrEx>
          <w:tblLayout w:type="fixed"/>
          <w:tblCellMar>
            <w:top w:w="0" w:type="dxa"/>
            <w:left w:w="108" w:type="dxa"/>
            <w:bottom w:w="0" w:type="dxa"/>
            <w:right w:w="108" w:type="dxa"/>
          </w:tblCellMar>
        </w:tblPrEx>
        <w:trPr>
          <w:trHeight w:val="90" w:hRule="atLeast"/>
          <w:jc w:val="center"/>
        </w:trPr>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b/>
                <w:bCs/>
                <w:color w:val="000000"/>
                <w:kern w:val="0"/>
                <w:sz w:val="24"/>
                <w:szCs w:val="24"/>
              </w:rPr>
            </w:pPr>
            <w:r>
              <w:rPr>
                <w:rFonts w:hint="eastAsia" w:ascii="方正仿宋_GBK" w:hAnsi="方正仿宋_GB2312" w:eastAsia="方正仿宋_GBK" w:cs="方正仿宋_GB2312"/>
                <w:b/>
                <w:bCs/>
                <w:color w:val="000000"/>
                <w:kern w:val="0"/>
                <w:sz w:val="24"/>
                <w:szCs w:val="24"/>
              </w:rPr>
              <w:t>序号</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b/>
                <w:bCs/>
                <w:color w:val="000000"/>
                <w:kern w:val="0"/>
                <w:sz w:val="24"/>
                <w:szCs w:val="24"/>
              </w:rPr>
            </w:pPr>
            <w:r>
              <w:rPr>
                <w:rFonts w:hint="eastAsia" w:ascii="方正仿宋_GBK" w:hAnsi="方正仿宋_GB2312" w:eastAsia="方正仿宋_GBK" w:cs="方正仿宋_GB2312"/>
                <w:b/>
                <w:bCs/>
                <w:color w:val="000000"/>
                <w:kern w:val="0"/>
                <w:sz w:val="24"/>
                <w:szCs w:val="24"/>
              </w:rPr>
              <w:t>部门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b/>
                <w:bCs/>
                <w:color w:val="000000"/>
                <w:kern w:val="0"/>
                <w:sz w:val="24"/>
                <w:szCs w:val="24"/>
              </w:rPr>
            </w:pPr>
            <w:r>
              <w:rPr>
                <w:rFonts w:hint="eastAsia" w:ascii="方正仿宋_GBK" w:hAnsi="方正仿宋_GB2312" w:eastAsia="方正仿宋_GBK" w:cs="方正仿宋_GB2312"/>
                <w:b/>
                <w:bCs/>
                <w:color w:val="000000"/>
                <w:kern w:val="0"/>
                <w:sz w:val="24"/>
                <w:szCs w:val="24"/>
              </w:rPr>
              <w:t>岗位</w:t>
            </w:r>
          </w:p>
          <w:p>
            <w:pPr>
              <w:widowControl/>
              <w:spacing w:line="300" w:lineRule="exact"/>
              <w:jc w:val="center"/>
              <w:textAlignment w:val="center"/>
              <w:rPr>
                <w:rFonts w:ascii="方正仿宋_GBK" w:hAnsi="方正仿宋_GB2312" w:eastAsia="方正仿宋_GBK" w:cs="方正仿宋_GB2312"/>
                <w:b/>
                <w:bCs/>
                <w:color w:val="000000"/>
                <w:kern w:val="0"/>
                <w:sz w:val="24"/>
                <w:szCs w:val="24"/>
              </w:rPr>
            </w:pPr>
            <w:r>
              <w:rPr>
                <w:rFonts w:hint="eastAsia" w:ascii="方正仿宋_GBK" w:hAnsi="方正仿宋_GB2312" w:eastAsia="方正仿宋_GBK" w:cs="方正仿宋_GB2312"/>
                <w:b/>
                <w:bCs/>
                <w:color w:val="000000"/>
                <w:kern w:val="0"/>
                <w:sz w:val="24"/>
                <w:szCs w:val="24"/>
              </w:rPr>
              <w:t>名称</w:t>
            </w:r>
          </w:p>
        </w:tc>
        <w:tc>
          <w:tcPr>
            <w:tcW w:w="4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b/>
                <w:bCs/>
                <w:color w:val="000000"/>
                <w:kern w:val="0"/>
                <w:sz w:val="24"/>
                <w:szCs w:val="24"/>
              </w:rPr>
            </w:pPr>
            <w:r>
              <w:rPr>
                <w:rFonts w:hint="eastAsia" w:ascii="方正仿宋_GBK" w:hAnsi="方正仿宋_GB2312" w:eastAsia="方正仿宋_GBK" w:cs="方正仿宋_GB2312"/>
                <w:b/>
                <w:bCs/>
                <w:color w:val="000000"/>
                <w:kern w:val="0"/>
                <w:sz w:val="24"/>
                <w:szCs w:val="24"/>
              </w:rPr>
              <w:t>人数</w:t>
            </w:r>
          </w:p>
        </w:tc>
        <w:tc>
          <w:tcPr>
            <w:tcW w:w="6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b/>
                <w:bCs/>
                <w:color w:val="000000"/>
                <w:kern w:val="0"/>
                <w:sz w:val="24"/>
                <w:szCs w:val="24"/>
              </w:rPr>
            </w:pPr>
            <w:r>
              <w:rPr>
                <w:rFonts w:hint="eastAsia" w:ascii="方正仿宋_GBK" w:hAnsi="方正仿宋_GB2312" w:eastAsia="方正仿宋_GBK" w:cs="方正仿宋_GB2312"/>
                <w:b/>
                <w:bCs/>
                <w:color w:val="000000"/>
                <w:kern w:val="0"/>
                <w:sz w:val="24"/>
                <w:szCs w:val="24"/>
              </w:rPr>
              <w:t>岗位职责</w:t>
            </w:r>
          </w:p>
        </w:tc>
        <w:tc>
          <w:tcPr>
            <w:tcW w:w="66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b/>
                <w:bCs/>
                <w:color w:val="000000"/>
                <w:kern w:val="0"/>
                <w:sz w:val="24"/>
                <w:szCs w:val="24"/>
              </w:rPr>
            </w:pPr>
            <w:r>
              <w:rPr>
                <w:rFonts w:hint="eastAsia" w:ascii="方正仿宋_GBK" w:hAnsi="方正仿宋_GB2312" w:eastAsia="方正仿宋_GBK" w:cs="方正仿宋_GB2312"/>
                <w:b/>
                <w:bCs/>
                <w:color w:val="000000"/>
                <w:kern w:val="0"/>
                <w:sz w:val="24"/>
                <w:szCs w:val="24"/>
              </w:rPr>
              <w:t>任职条件</w:t>
            </w:r>
          </w:p>
        </w:tc>
      </w:tr>
      <w:tr>
        <w:tblPrEx>
          <w:tblLayout w:type="fixed"/>
          <w:tblCellMar>
            <w:top w:w="0" w:type="dxa"/>
            <w:left w:w="108" w:type="dxa"/>
            <w:bottom w:w="0" w:type="dxa"/>
            <w:right w:w="108" w:type="dxa"/>
          </w:tblCellMar>
        </w:tblPrEx>
        <w:trPr>
          <w:cantSplit/>
          <w:trHeight w:val="1380" w:hRule="atLeast"/>
          <w:jc w:val="center"/>
        </w:trPr>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1</w:t>
            </w:r>
          </w:p>
        </w:tc>
        <w:tc>
          <w:tcPr>
            <w:tcW w:w="853" w:type="dxa"/>
            <w:vMerge w:val="restart"/>
            <w:tcBorders>
              <w:top w:val="single" w:color="000000" w:sz="4" w:space="0"/>
              <w:left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权益投资部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投资经理</w:t>
            </w:r>
            <w:r>
              <w:rPr>
                <w:rFonts w:hint="eastAsia" w:ascii="方正仿宋_GBK" w:hAnsi="方正仿宋_GB2312" w:eastAsia="方正仿宋_GBK" w:cs="方正仿宋_GB2312"/>
                <w:color w:val="000000"/>
                <w:kern w:val="0"/>
                <w:sz w:val="24"/>
                <w:szCs w:val="24"/>
              </w:rPr>
              <w:br w:type="textWrapping"/>
            </w:r>
            <w:r>
              <w:rPr>
                <w:rFonts w:hint="eastAsia" w:ascii="方正仿宋_GBK" w:hAnsi="方正仿宋_GB2312" w:eastAsia="方正仿宋_GBK" w:cs="方正仿宋_GB2312"/>
                <w:color w:val="000000"/>
                <w:kern w:val="0"/>
                <w:sz w:val="24"/>
                <w:szCs w:val="24"/>
              </w:rPr>
              <w:t>（股票）</w:t>
            </w:r>
          </w:p>
        </w:tc>
        <w:tc>
          <w:tcPr>
            <w:tcW w:w="4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2</w:t>
            </w:r>
          </w:p>
        </w:tc>
        <w:tc>
          <w:tcPr>
            <w:tcW w:w="6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根据权益投资市场情况及资产配置方案提出组合股票投资策略；依据公司投资决策构建并管理所负责账户的股票投资组合；参与股票相关研究及参与构建股票备选池；配合风险控制部门对股票投资组合的风险监控；参与部门对研究员的绩效考核；负责完成领导交办的其他工作。</w:t>
            </w:r>
          </w:p>
        </w:tc>
        <w:tc>
          <w:tcPr>
            <w:tcW w:w="66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金融、投资、经济类等相关专业；5年以上投资运作相关工作经验，3年及以上股票投资经验；具备丰富的专业知识，掌握股票投资相关政策、法规，对股票市场有较强的洞察力和敏锐性，并获得了较好的投资业绩。</w:t>
            </w:r>
          </w:p>
        </w:tc>
      </w:tr>
      <w:tr>
        <w:tblPrEx>
          <w:tblLayout w:type="fixed"/>
          <w:tblCellMar>
            <w:top w:w="0" w:type="dxa"/>
            <w:left w:w="108" w:type="dxa"/>
            <w:bottom w:w="0" w:type="dxa"/>
            <w:right w:w="108" w:type="dxa"/>
          </w:tblCellMar>
        </w:tblPrEx>
        <w:trPr>
          <w:cantSplit/>
          <w:trHeight w:val="1822" w:hRule="atLeast"/>
          <w:jc w:val="center"/>
        </w:trPr>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2</w:t>
            </w:r>
          </w:p>
        </w:tc>
        <w:tc>
          <w:tcPr>
            <w:tcW w:w="853" w:type="dxa"/>
            <w:vMerge w:val="continue"/>
            <w:tcBorders>
              <w:left w:val="single" w:color="000000" w:sz="4" w:space="0"/>
              <w:bottom w:val="single" w:color="auto" w:sz="4" w:space="0"/>
              <w:right w:val="single" w:color="000000" w:sz="4" w:space="0"/>
            </w:tcBorders>
            <w:shd w:val="clear" w:color="auto" w:fill="auto"/>
            <w:vAlign w:val="center"/>
          </w:tcPr>
          <w:p>
            <w:pPr>
              <w:spacing w:line="300" w:lineRule="exact"/>
              <w:jc w:val="center"/>
              <w:rPr>
                <w:rFonts w:ascii="方正仿宋_GBK" w:hAnsi="方正仿宋_GB2312" w:eastAsia="方正仿宋_GBK" w:cs="方正仿宋_GB2312"/>
                <w:color w:val="000000"/>
                <w:sz w:val="24"/>
                <w:szCs w:val="24"/>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行业研究员</w:t>
            </w:r>
            <w:r>
              <w:rPr>
                <w:rFonts w:hint="eastAsia" w:ascii="方正仿宋_GBK" w:eastAsia="方正仿宋_GBK"/>
                <w:color w:val="000000"/>
                <w:kern w:val="0"/>
              </w:rPr>
              <w:t>（大周期、化工、中游制造等）</w:t>
            </w:r>
          </w:p>
        </w:tc>
        <w:tc>
          <w:tcPr>
            <w:tcW w:w="4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2</w:t>
            </w:r>
          </w:p>
        </w:tc>
        <w:tc>
          <w:tcPr>
            <w:tcW w:w="6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构建权益投资研究体系，为投资决策提供支持；开展上市公司主要行业研究，包括行业发展前景研究、行业估值模型研究和行业投资策略研究，为投资决策提供相关参考；跟踪分析股票等权益市场，挖掘市场机会，建立和维护股票池；协助投资经理进行专题研究，撰写投资分析报告；构建模拟投资组合；负责完成领导交办的其他工作。</w:t>
            </w:r>
          </w:p>
        </w:tc>
        <w:tc>
          <w:tcPr>
            <w:tcW w:w="66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金融、投资、经济、经营管理等相关专业；3年以上行业研究工作经验，2年及以上所招聘行业的研究基础和经验；掌握宏</w:t>
            </w:r>
            <w:r>
              <w:rPr>
                <w:rFonts w:hint="eastAsia" w:ascii="方正仿宋_GBK" w:hAnsi="方正仿宋_GB2312" w:eastAsia="方正仿宋_GBK" w:cs="方正仿宋_GB2312"/>
                <w:kern w:val="0"/>
                <w:sz w:val="24"/>
                <w:szCs w:val="24"/>
              </w:rPr>
              <w:t>观经济、权益投资、行业研究等相关管理知识；</w:t>
            </w:r>
            <w:r>
              <w:rPr>
                <w:rFonts w:hint="eastAsia" w:ascii="方正仿宋_GBK" w:hAnsi="方正仿宋_GB2312" w:eastAsia="方正仿宋_GBK" w:cs="方正仿宋_GB2312"/>
                <w:color w:val="000000"/>
                <w:kern w:val="0"/>
                <w:sz w:val="24"/>
                <w:szCs w:val="24"/>
              </w:rPr>
              <w:t>具有较强的文字表达能力，逻辑分析能力，能针对工作中的问题提出建设性意见。</w:t>
            </w:r>
          </w:p>
        </w:tc>
      </w:tr>
      <w:tr>
        <w:tblPrEx>
          <w:tblLayout w:type="fixed"/>
          <w:tblCellMar>
            <w:top w:w="0" w:type="dxa"/>
            <w:left w:w="108" w:type="dxa"/>
            <w:bottom w:w="0" w:type="dxa"/>
            <w:right w:w="108" w:type="dxa"/>
          </w:tblCellMar>
        </w:tblPrEx>
        <w:trPr>
          <w:cantSplit/>
          <w:trHeight w:val="1172" w:hRule="atLeast"/>
          <w:jc w:val="center"/>
        </w:trPr>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3</w:t>
            </w:r>
          </w:p>
        </w:tc>
        <w:tc>
          <w:tcPr>
            <w:tcW w:w="853"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股权投资事业部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投资运作岗</w:t>
            </w:r>
          </w:p>
        </w:tc>
        <w:tc>
          <w:tcPr>
            <w:tcW w:w="4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1</w:t>
            </w:r>
          </w:p>
        </w:tc>
        <w:tc>
          <w:tcPr>
            <w:tcW w:w="6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kern w:val="0"/>
                <w:sz w:val="24"/>
                <w:szCs w:val="24"/>
              </w:rPr>
              <w:t>负责拟投资</w:t>
            </w:r>
            <w:r>
              <w:rPr>
                <w:rFonts w:hint="eastAsia" w:ascii="方正仿宋_GBK" w:hAnsi="方正仿宋_GB2312" w:eastAsia="方正仿宋_GBK" w:cs="方正仿宋_GB2312"/>
                <w:color w:val="000000"/>
                <w:kern w:val="0"/>
                <w:sz w:val="24"/>
                <w:szCs w:val="24"/>
              </w:rPr>
              <w:t>行业研究和投资标的价值评估分析；参与尽职调查，审查法律协议及相关文件，撰写尽调报告；负责股权投资计划注册/登记材料的编制和报送；配合收集投资标的后续材料，协助开展后续管理工作；负责完成领导交办的其他工作。</w:t>
            </w:r>
          </w:p>
        </w:tc>
        <w:tc>
          <w:tcPr>
            <w:tcW w:w="66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金融、投资、经济类等相关专业；3年及以上股权投资工作经验，有保险公司或保险资管公司投资部门、或PE/VC公司工作经验、或有投资计划发行相关经验者优先；熟练掌握保险资金股权投资相关政策法规，具备相关专业知识和实际业务操作经验；具备较强的沟通协调、商务谈判和文字表达能力，具有良好的心理素质，无影响任职的不良行为记录。</w:t>
            </w:r>
          </w:p>
        </w:tc>
      </w:tr>
      <w:tr>
        <w:tblPrEx>
          <w:tblLayout w:type="fixed"/>
          <w:tblCellMar>
            <w:top w:w="0" w:type="dxa"/>
            <w:left w:w="108" w:type="dxa"/>
            <w:bottom w:w="0" w:type="dxa"/>
            <w:right w:w="108" w:type="dxa"/>
          </w:tblCellMar>
        </w:tblPrEx>
        <w:trPr>
          <w:cantSplit/>
          <w:trHeight w:val="223" w:hRule="atLeast"/>
          <w:jc w:val="center"/>
        </w:trPr>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4</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另类投资部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投资</w:t>
            </w:r>
          </w:p>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经理</w:t>
            </w:r>
          </w:p>
        </w:tc>
        <w:tc>
          <w:tcPr>
            <w:tcW w:w="4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1</w:t>
            </w:r>
          </w:p>
        </w:tc>
        <w:tc>
          <w:tcPr>
            <w:tcW w:w="6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负责在市场上寻找和挖掘潜在投资项目；负责进行项目尽职调查，进行投资价值分析，撰写投资建议书；负责与各方谈判交易结构、投资条款、协议文本等，履行投资决策程序；负责另类投资项目的实施管理；配合另类投资投后管理相关工作；完成领导交办的其他工作。</w:t>
            </w:r>
          </w:p>
        </w:tc>
        <w:tc>
          <w:tcPr>
            <w:tcW w:w="66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金融、投资、经济类等相关专业；3年及以上非标投资工作经验，有保险公司或保险资管公司投资部门、或PE/VC公司工作经验、或有投资计划发行相关经验者优先；熟练掌握保险资金非标投资相关政策法规，具备相关专业知识和实际业务操作经验；具备较强的沟通协调、商务谈判和文字表达能力。</w:t>
            </w:r>
          </w:p>
        </w:tc>
      </w:tr>
      <w:tr>
        <w:tblPrEx>
          <w:tblLayout w:type="fixed"/>
          <w:tblCellMar>
            <w:top w:w="0" w:type="dxa"/>
            <w:left w:w="108" w:type="dxa"/>
            <w:bottom w:w="0" w:type="dxa"/>
            <w:right w:w="108" w:type="dxa"/>
          </w:tblCellMar>
        </w:tblPrEx>
        <w:trPr>
          <w:cantSplit/>
          <w:trHeight w:val="618" w:hRule="atLeast"/>
          <w:jc w:val="center"/>
        </w:trPr>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5</w:t>
            </w:r>
          </w:p>
        </w:tc>
        <w:tc>
          <w:tcPr>
            <w:tcW w:w="853" w:type="dxa"/>
            <w:tcBorders>
              <w:top w:val="single" w:color="000000" w:sz="4" w:space="0"/>
              <w:left w:val="single" w:color="000000" w:sz="4" w:space="0"/>
              <w:right w:val="single" w:color="000000" w:sz="4" w:space="0"/>
            </w:tcBorders>
            <w:shd w:val="clear" w:color="auto" w:fill="auto"/>
            <w:noWrap/>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项目事业部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总经理</w:t>
            </w:r>
          </w:p>
        </w:tc>
        <w:tc>
          <w:tcPr>
            <w:tcW w:w="4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3</w:t>
            </w:r>
          </w:p>
        </w:tc>
        <w:tc>
          <w:tcPr>
            <w:tcW w:w="6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负责组织项目部完成各项考核指标；负责项目部业务团队建设及管理；负责拟定项目部业务开发计划并组织实施；负责组织协调项目承揽、承做、承销全流程开发；负责开发、维护、服务重点合作客户；负责完成领导交办的其他工作。</w:t>
            </w:r>
          </w:p>
        </w:tc>
        <w:tc>
          <w:tcPr>
            <w:tcW w:w="66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金融、投资、经济类等相关专业；5年及以上项目投资或信贷管理等相关工作经验，3年及以上团队管理经验；具备丰富的专业知识和实际业务经验，熟练掌握相关政策法规，掌握项目投资或信贷相关管理知识；具备较强的沟通协调、商务谈判和文字表达能力，有一定项目管理业务资源和储备。</w:t>
            </w:r>
          </w:p>
        </w:tc>
      </w:tr>
      <w:tr>
        <w:tblPrEx>
          <w:tblLayout w:type="fixed"/>
          <w:tblCellMar>
            <w:top w:w="0" w:type="dxa"/>
            <w:left w:w="108" w:type="dxa"/>
            <w:bottom w:w="0" w:type="dxa"/>
            <w:right w:w="108" w:type="dxa"/>
          </w:tblCellMar>
        </w:tblPrEx>
        <w:trPr>
          <w:cantSplit/>
          <w:trHeight w:val="668" w:hRule="atLeast"/>
          <w:jc w:val="center"/>
        </w:trPr>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6</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产品市场部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市场拓展岗</w:t>
            </w:r>
            <w:r>
              <w:rPr>
                <w:rFonts w:hint="eastAsia" w:ascii="方正仿宋_GBK" w:hAnsi="方正仿宋_GB2312" w:eastAsia="方正仿宋_GBK" w:cs="方正仿宋_GB2312"/>
                <w:kern w:val="0"/>
                <w:sz w:val="24"/>
                <w:szCs w:val="24"/>
              </w:rPr>
              <w:t>高级经理</w:t>
            </w:r>
          </w:p>
        </w:tc>
        <w:tc>
          <w:tcPr>
            <w:tcW w:w="4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1</w:t>
            </w:r>
          </w:p>
        </w:tc>
        <w:tc>
          <w:tcPr>
            <w:tcW w:w="6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负责开发新客户和渠道，并对公司原有客户和渠道进行维护；负责根据客户需求组织各方开展商务谈判，推介合作方案；负责落实公司相关产品或项目的募集与发行等销售管理工作；负责跟踪市场动向及监管情况，维护监管渠道；负责完成领导交办的其他工作。</w:t>
            </w:r>
          </w:p>
        </w:tc>
        <w:tc>
          <w:tcPr>
            <w:tcW w:w="66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金融、投资、经济类等相关专业；5年及以上产品管理、市场营销相关工作经验，金融保险、银行证券行业经验者优先考虑；具有较强的产品开发、市场渠道和营销能力，较强的文字表达能力、沟通协调能力，团结协作意识强。</w:t>
            </w:r>
          </w:p>
        </w:tc>
      </w:tr>
      <w:tr>
        <w:tblPrEx>
          <w:tblLayout w:type="fixed"/>
          <w:tblCellMar>
            <w:top w:w="0" w:type="dxa"/>
            <w:left w:w="108" w:type="dxa"/>
            <w:bottom w:w="0" w:type="dxa"/>
            <w:right w:w="108" w:type="dxa"/>
          </w:tblCellMar>
        </w:tblPrEx>
        <w:trPr>
          <w:cantSplit/>
          <w:trHeight w:val="60" w:hRule="atLeast"/>
          <w:jc w:val="center"/>
        </w:trPr>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7</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信用评估部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信用评估岗</w:t>
            </w:r>
          </w:p>
        </w:tc>
        <w:tc>
          <w:tcPr>
            <w:tcW w:w="4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1</w:t>
            </w:r>
          </w:p>
        </w:tc>
        <w:tc>
          <w:tcPr>
            <w:tcW w:w="6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负责建立或提出完善信用评估分析模型的建议；负责对相关行业的债券等信用产品及交易对手进行初次评级，提出内部信用等级建议；负责对已完成初次评级的信用产品及交易对手进行跟踪评级，提出内部信用等级建议；负责完成日常信用风险监测、信用风险研究相关工作；负责完成领导交办的其他工作。</w:t>
            </w:r>
          </w:p>
        </w:tc>
        <w:tc>
          <w:tcPr>
            <w:tcW w:w="66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经济、金融、管理类相关专业；3年及以上本岗位或相关领域工作经验，CFA、FRM或CPA优先考虑；有较强的企业经营分析和财务分析能力，较好的职业素质、团队协作精神和沟通能力，较强的责任意识和服务意识。</w:t>
            </w:r>
          </w:p>
        </w:tc>
      </w:tr>
      <w:tr>
        <w:tblPrEx>
          <w:tblLayout w:type="fixed"/>
          <w:tblCellMar>
            <w:top w:w="0" w:type="dxa"/>
            <w:left w:w="108" w:type="dxa"/>
            <w:bottom w:w="0" w:type="dxa"/>
            <w:right w:w="108" w:type="dxa"/>
          </w:tblCellMar>
        </w:tblPrEx>
        <w:trPr>
          <w:cantSplit/>
          <w:trHeight w:val="193" w:hRule="atLeast"/>
          <w:jc w:val="center"/>
        </w:trPr>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8</w:t>
            </w:r>
          </w:p>
        </w:tc>
        <w:tc>
          <w:tcPr>
            <w:tcW w:w="853"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sz w:val="24"/>
                <w:szCs w:val="24"/>
                <w:lang w:eastAsia="zh-CN"/>
              </w:rPr>
            </w:pPr>
            <w:r>
              <w:rPr>
                <w:rFonts w:hint="eastAsia" w:ascii="方正仿宋_GBK" w:hAnsi="方正仿宋_GB2312" w:eastAsia="方正仿宋_GBK" w:cs="方正仿宋_GB2312"/>
                <w:color w:val="000000"/>
                <w:kern w:val="0"/>
                <w:sz w:val="24"/>
                <w:szCs w:val="24"/>
              </w:rPr>
              <w:t>组织人事部</w:t>
            </w:r>
            <w:r>
              <w:rPr>
                <w:rFonts w:hint="eastAsia" w:ascii="方正仿宋_GBK" w:hAnsi="方正仿宋_GB2312" w:eastAsia="方正仿宋_GBK" w:cs="方正仿宋_GB2312"/>
                <w:color w:val="000000"/>
                <w:kern w:val="0"/>
                <w:sz w:val="24"/>
                <w:szCs w:val="24"/>
              </w:rPr>
              <w:br w:type="textWrapping"/>
            </w:r>
            <w:r>
              <w:rPr>
                <w:rFonts w:hint="eastAsia" w:ascii="方正仿宋_GBK" w:hAnsi="方正仿宋_GB2312" w:eastAsia="方正仿宋_GBK" w:cs="方正仿宋_GB2312"/>
                <w:color w:val="000000"/>
                <w:kern w:val="0"/>
                <w:sz w:val="24"/>
                <w:szCs w:val="24"/>
                <w:lang w:val="en-US" w:eastAsia="zh-CN"/>
              </w:rPr>
              <w:t>(</w:t>
            </w:r>
            <w:r>
              <w:rPr>
                <w:rFonts w:hint="eastAsia" w:ascii="方正仿宋_GBK" w:hAnsi="方正仿宋_GB2312" w:eastAsia="方正仿宋_GBK" w:cs="方正仿宋_GB2312"/>
                <w:color w:val="000000"/>
                <w:kern w:val="0"/>
                <w:sz w:val="24"/>
                <w:szCs w:val="24"/>
              </w:rPr>
              <w:t>人力资源部</w:t>
            </w:r>
            <w:r>
              <w:rPr>
                <w:rFonts w:hint="eastAsia" w:ascii="方正仿宋_GBK" w:hAnsi="方正仿宋_GB2312" w:eastAsia="方正仿宋_GBK" w:cs="方正仿宋_GB2312"/>
                <w:color w:val="000000"/>
                <w:kern w:val="0"/>
                <w:sz w:val="24"/>
                <w:szCs w:val="24"/>
                <w:lang w:val="en-US" w:eastAsia="zh-CN"/>
              </w:rPr>
              <w:t>)</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lang w:eastAsia="zh-CN"/>
              </w:rPr>
              <w:t>员工</w:t>
            </w:r>
            <w:r>
              <w:rPr>
                <w:rFonts w:hint="eastAsia" w:ascii="方正仿宋_GBK" w:hAnsi="方正仿宋_GB2312" w:eastAsia="方正仿宋_GBK" w:cs="方正仿宋_GB2312"/>
                <w:color w:val="000000"/>
                <w:kern w:val="0"/>
                <w:sz w:val="24"/>
                <w:szCs w:val="24"/>
              </w:rPr>
              <w:t>发展岗</w:t>
            </w:r>
          </w:p>
        </w:tc>
        <w:tc>
          <w:tcPr>
            <w:tcW w:w="4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1</w:t>
            </w:r>
          </w:p>
        </w:tc>
        <w:tc>
          <w:tcPr>
            <w:tcW w:w="6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根据公司发展规划，拟定公司人力资源规划，编制年度人力计划报告；根据年度招聘计划，负责制定招聘方案，组织开展员工招聘工作；负责员工调、转、入、离等日常管理工作；负责员工教育培训管理，制定年度培训方案，组织开展年度员工培训；负责人力资源档案管理；负责完成领导交办的其他工作。</w:t>
            </w:r>
          </w:p>
        </w:tc>
        <w:tc>
          <w:tcPr>
            <w:tcW w:w="66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经济、管理类相关专业；3年及以上本岗位或相关领域工作经验，中级人力资源管理师优先考虑；中共党员，具备专业知识背景，熟练掌握人力资源有关政策、法规；具有较好的职业素质、团队协作精神和沟通能力，较强的责任意识和服务意识。</w:t>
            </w:r>
          </w:p>
        </w:tc>
      </w:tr>
      <w:tr>
        <w:tblPrEx>
          <w:tblLayout w:type="fixed"/>
          <w:tblCellMar>
            <w:top w:w="0" w:type="dxa"/>
            <w:left w:w="108" w:type="dxa"/>
            <w:bottom w:w="0" w:type="dxa"/>
            <w:right w:w="108" w:type="dxa"/>
          </w:tblCellMar>
        </w:tblPrEx>
        <w:trPr>
          <w:cantSplit/>
          <w:trHeight w:val="465" w:hRule="atLeast"/>
          <w:jc w:val="center"/>
        </w:trPr>
        <w:tc>
          <w:tcPr>
            <w:tcW w:w="23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仿宋_GBK" w:hAnsi="方正仿宋_GB2312" w:eastAsia="方正仿宋_GBK" w:cs="方正仿宋_GB2312"/>
                <w:b/>
                <w:bCs/>
                <w:color w:val="000000"/>
                <w:sz w:val="24"/>
                <w:szCs w:val="24"/>
              </w:rPr>
            </w:pPr>
            <w:r>
              <w:rPr>
                <w:rFonts w:hint="eastAsia" w:ascii="方正仿宋_GBK" w:hAnsi="方正仿宋_GB2312" w:eastAsia="方正仿宋_GBK" w:cs="方正仿宋_GB2312"/>
                <w:b/>
                <w:bCs/>
                <w:color w:val="000000"/>
                <w:kern w:val="0"/>
                <w:sz w:val="24"/>
                <w:szCs w:val="24"/>
              </w:rPr>
              <w:t>合计</w:t>
            </w:r>
          </w:p>
        </w:tc>
        <w:tc>
          <w:tcPr>
            <w:tcW w:w="1329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00" w:lineRule="exact"/>
              <w:jc w:val="center"/>
              <w:rPr>
                <w:rFonts w:ascii="方正仿宋_GBK" w:hAnsi="方正仿宋_GB2312" w:eastAsia="方正仿宋_GBK" w:cs="方正仿宋_GB2312"/>
                <w:b/>
                <w:bCs/>
                <w:color w:val="000000"/>
                <w:sz w:val="24"/>
                <w:szCs w:val="24"/>
              </w:rPr>
            </w:pPr>
            <w:r>
              <w:rPr>
                <w:rFonts w:hint="eastAsia" w:ascii="方正仿宋_GBK" w:hAnsi="方正仿宋_GB2312" w:eastAsia="方正仿宋_GBK" w:cs="方正仿宋_GB2312"/>
                <w:color w:val="000000"/>
                <w:sz w:val="24"/>
                <w:szCs w:val="24"/>
              </w:rPr>
              <w:t>共12人</w:t>
            </w:r>
          </w:p>
        </w:tc>
      </w:tr>
    </w:tbl>
    <w:p/>
    <w:p/>
    <w:p/>
    <w:tbl>
      <w:tblPr>
        <w:tblStyle w:val="5"/>
        <w:tblW w:w="156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4"/>
        <w:gridCol w:w="947"/>
        <w:gridCol w:w="913"/>
        <w:gridCol w:w="562"/>
        <w:gridCol w:w="6628"/>
        <w:gridCol w:w="6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5619" w:type="dxa"/>
            <w:gridSpan w:val="6"/>
            <w:shd w:val="clear" w:color="auto" w:fill="auto"/>
            <w:vAlign w:val="center"/>
          </w:tcPr>
          <w:p>
            <w:pPr>
              <w:widowControl/>
              <w:spacing w:line="300" w:lineRule="exact"/>
              <w:jc w:val="left"/>
              <w:textAlignment w:val="center"/>
              <w:rPr>
                <w:rFonts w:ascii="方正仿宋_GBK" w:hAnsi="方正仿宋_GB2312" w:eastAsia="方正仿宋_GBK" w:cs="方正仿宋_GB2312"/>
                <w:b/>
                <w:bCs/>
                <w:color w:val="000000"/>
                <w:sz w:val="24"/>
                <w:szCs w:val="24"/>
              </w:rPr>
            </w:pPr>
            <w:r>
              <w:rPr>
                <w:rFonts w:hint="eastAsia" w:ascii="方正仿宋_GBK" w:hAnsi="方正仿宋_GB2312" w:eastAsia="方正仿宋_GBK" w:cs="方正仿宋_GB2312"/>
                <w:b/>
                <w:bCs/>
                <w:color w:val="000000"/>
                <w:sz w:val="24"/>
                <w:szCs w:val="24"/>
              </w:rPr>
              <w:t>英大基金管理有限公司：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44" w:type="dxa"/>
            <w:shd w:val="clear" w:color="auto" w:fill="auto"/>
            <w:vAlign w:val="center"/>
          </w:tcPr>
          <w:p>
            <w:pPr>
              <w:widowControl/>
              <w:spacing w:line="300" w:lineRule="exact"/>
              <w:jc w:val="center"/>
              <w:textAlignment w:val="center"/>
              <w:rPr>
                <w:rFonts w:ascii="方正仿宋_GBK" w:hAnsi="方正仿宋_GB2312" w:eastAsia="方正仿宋_GBK" w:cs="方正仿宋_GB2312"/>
                <w:b/>
                <w:bCs/>
                <w:color w:val="000000"/>
                <w:kern w:val="0"/>
                <w:sz w:val="24"/>
                <w:szCs w:val="24"/>
              </w:rPr>
            </w:pPr>
            <w:r>
              <w:rPr>
                <w:rFonts w:hint="eastAsia" w:ascii="方正仿宋_GBK" w:hAnsi="方正仿宋_GB2312" w:eastAsia="方正仿宋_GBK" w:cs="方正仿宋_GB2312"/>
                <w:b/>
                <w:bCs/>
                <w:color w:val="000000"/>
                <w:kern w:val="0"/>
                <w:sz w:val="24"/>
                <w:szCs w:val="24"/>
              </w:rPr>
              <w:t>序号</w:t>
            </w:r>
          </w:p>
        </w:tc>
        <w:tc>
          <w:tcPr>
            <w:tcW w:w="947" w:type="dxa"/>
            <w:shd w:val="clear" w:color="auto" w:fill="auto"/>
            <w:vAlign w:val="center"/>
          </w:tcPr>
          <w:p>
            <w:pPr>
              <w:widowControl/>
              <w:spacing w:line="300" w:lineRule="exact"/>
              <w:jc w:val="center"/>
              <w:textAlignment w:val="center"/>
              <w:rPr>
                <w:rFonts w:ascii="方正仿宋_GBK" w:hAnsi="方正仿宋_GB2312" w:eastAsia="方正仿宋_GBK" w:cs="方正仿宋_GB2312"/>
                <w:b/>
                <w:bCs/>
                <w:color w:val="000000"/>
                <w:kern w:val="0"/>
                <w:sz w:val="24"/>
                <w:szCs w:val="24"/>
              </w:rPr>
            </w:pPr>
            <w:r>
              <w:rPr>
                <w:rFonts w:hint="eastAsia" w:ascii="方正仿宋_GBK" w:hAnsi="方正仿宋_GB2312" w:eastAsia="方正仿宋_GBK" w:cs="方正仿宋_GB2312"/>
                <w:b/>
                <w:bCs/>
                <w:color w:val="000000"/>
                <w:kern w:val="0"/>
                <w:sz w:val="24"/>
                <w:szCs w:val="24"/>
              </w:rPr>
              <w:t>部门</w:t>
            </w:r>
          </w:p>
        </w:tc>
        <w:tc>
          <w:tcPr>
            <w:tcW w:w="913" w:type="dxa"/>
            <w:shd w:val="clear" w:color="auto" w:fill="auto"/>
            <w:vAlign w:val="center"/>
          </w:tcPr>
          <w:p>
            <w:pPr>
              <w:widowControl/>
              <w:spacing w:line="300" w:lineRule="exact"/>
              <w:jc w:val="center"/>
              <w:textAlignment w:val="center"/>
              <w:rPr>
                <w:rFonts w:ascii="方正仿宋_GBK" w:hAnsi="方正仿宋_GB2312" w:eastAsia="方正仿宋_GBK" w:cs="方正仿宋_GB2312"/>
                <w:b/>
                <w:bCs/>
                <w:color w:val="000000"/>
                <w:kern w:val="0"/>
                <w:sz w:val="24"/>
                <w:szCs w:val="24"/>
              </w:rPr>
            </w:pPr>
            <w:r>
              <w:rPr>
                <w:rFonts w:hint="eastAsia" w:ascii="方正仿宋_GBK" w:hAnsi="方正仿宋_GB2312" w:eastAsia="方正仿宋_GBK" w:cs="方正仿宋_GB2312"/>
                <w:b/>
                <w:bCs/>
                <w:color w:val="000000"/>
                <w:kern w:val="0"/>
                <w:sz w:val="24"/>
                <w:szCs w:val="24"/>
              </w:rPr>
              <w:t>岗位名称</w:t>
            </w:r>
          </w:p>
        </w:tc>
        <w:tc>
          <w:tcPr>
            <w:tcW w:w="562" w:type="dxa"/>
            <w:shd w:val="clear" w:color="auto" w:fill="auto"/>
            <w:vAlign w:val="center"/>
          </w:tcPr>
          <w:p>
            <w:pPr>
              <w:widowControl/>
              <w:spacing w:line="300" w:lineRule="exact"/>
              <w:jc w:val="center"/>
              <w:textAlignment w:val="center"/>
              <w:rPr>
                <w:rFonts w:ascii="方正仿宋_GBK" w:hAnsi="方正仿宋_GB2312" w:eastAsia="方正仿宋_GBK" w:cs="方正仿宋_GB2312"/>
                <w:b/>
                <w:bCs/>
                <w:color w:val="000000"/>
                <w:kern w:val="0"/>
                <w:sz w:val="24"/>
                <w:szCs w:val="24"/>
              </w:rPr>
            </w:pPr>
            <w:r>
              <w:rPr>
                <w:rFonts w:hint="eastAsia" w:ascii="方正仿宋_GBK" w:hAnsi="方正仿宋_GB2312" w:eastAsia="方正仿宋_GBK" w:cs="方正仿宋_GB2312"/>
                <w:b/>
                <w:bCs/>
                <w:color w:val="000000"/>
                <w:kern w:val="0"/>
                <w:sz w:val="24"/>
                <w:szCs w:val="24"/>
              </w:rPr>
              <w:t>人数</w:t>
            </w:r>
          </w:p>
        </w:tc>
        <w:tc>
          <w:tcPr>
            <w:tcW w:w="6628" w:type="dxa"/>
            <w:shd w:val="clear" w:color="auto" w:fill="auto"/>
            <w:vAlign w:val="center"/>
          </w:tcPr>
          <w:p>
            <w:pPr>
              <w:widowControl/>
              <w:spacing w:line="300" w:lineRule="exact"/>
              <w:jc w:val="center"/>
              <w:textAlignment w:val="center"/>
              <w:rPr>
                <w:rFonts w:ascii="方正仿宋_GBK" w:hAnsi="方正仿宋_GB2312" w:eastAsia="方正仿宋_GBK" w:cs="方正仿宋_GB2312"/>
                <w:b/>
                <w:bCs/>
                <w:color w:val="000000"/>
                <w:kern w:val="0"/>
                <w:sz w:val="24"/>
                <w:szCs w:val="24"/>
              </w:rPr>
            </w:pPr>
            <w:r>
              <w:rPr>
                <w:rFonts w:hint="eastAsia" w:ascii="方正仿宋_GBK" w:hAnsi="方正仿宋_GB2312" w:eastAsia="方正仿宋_GBK" w:cs="方正仿宋_GB2312"/>
                <w:b/>
                <w:bCs/>
                <w:color w:val="000000"/>
                <w:kern w:val="0"/>
                <w:sz w:val="24"/>
                <w:szCs w:val="24"/>
              </w:rPr>
              <w:t>岗位职责</w:t>
            </w:r>
          </w:p>
        </w:tc>
        <w:tc>
          <w:tcPr>
            <w:tcW w:w="6025" w:type="dxa"/>
            <w:shd w:val="clear" w:color="auto" w:fill="auto"/>
            <w:vAlign w:val="center"/>
          </w:tcPr>
          <w:p>
            <w:pPr>
              <w:widowControl/>
              <w:spacing w:line="300" w:lineRule="exact"/>
              <w:jc w:val="center"/>
              <w:textAlignment w:val="center"/>
              <w:rPr>
                <w:rFonts w:ascii="方正仿宋_GBK" w:hAnsi="方正仿宋_GB2312" w:eastAsia="方正仿宋_GBK" w:cs="方正仿宋_GB2312"/>
                <w:b/>
                <w:bCs/>
                <w:color w:val="000000"/>
                <w:kern w:val="0"/>
                <w:sz w:val="24"/>
                <w:szCs w:val="24"/>
              </w:rPr>
            </w:pPr>
            <w:r>
              <w:rPr>
                <w:rFonts w:hint="eastAsia" w:ascii="方正仿宋_GBK" w:hAnsi="方正仿宋_GB2312" w:eastAsia="方正仿宋_GBK" w:cs="方正仿宋_GB2312"/>
                <w:b/>
                <w:bCs/>
                <w:color w:val="000000"/>
                <w:kern w:val="0"/>
                <w:sz w:val="24"/>
                <w:szCs w:val="24"/>
              </w:rPr>
              <w:t>任职条件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0" w:hRule="atLeast"/>
          <w:jc w:val="center"/>
        </w:trPr>
        <w:tc>
          <w:tcPr>
            <w:tcW w:w="544"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sz w:val="24"/>
                <w:szCs w:val="24"/>
                <w:lang w:eastAsia="zh-CN"/>
              </w:rPr>
            </w:pPr>
            <w:r>
              <w:rPr>
                <w:rFonts w:hint="eastAsia" w:ascii="方正仿宋_GBK" w:hAnsi="方正仿宋_GB2312" w:eastAsia="方正仿宋_GBK" w:cs="方正仿宋_GB2312"/>
                <w:color w:val="000000"/>
                <w:kern w:val="0"/>
                <w:sz w:val="24"/>
                <w:szCs w:val="24"/>
                <w:lang w:val="en-US" w:eastAsia="zh-CN"/>
              </w:rPr>
              <w:t>1</w:t>
            </w:r>
          </w:p>
        </w:tc>
        <w:tc>
          <w:tcPr>
            <w:tcW w:w="947" w:type="dxa"/>
            <w:shd w:val="clear" w:color="auto" w:fill="auto"/>
            <w:vAlign w:val="center"/>
          </w:tcPr>
          <w:p>
            <w:pPr>
              <w:spacing w:line="300" w:lineRule="exact"/>
              <w:jc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能源REITs资产证券化业务部</w:t>
            </w:r>
          </w:p>
        </w:tc>
        <w:tc>
          <w:tcPr>
            <w:tcW w:w="913"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投资管理岗（项目开发）</w:t>
            </w:r>
          </w:p>
        </w:tc>
        <w:tc>
          <w:tcPr>
            <w:tcW w:w="562"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sz w:val="24"/>
                <w:szCs w:val="24"/>
              </w:rPr>
              <w:t>1</w:t>
            </w:r>
          </w:p>
        </w:tc>
        <w:tc>
          <w:tcPr>
            <w:tcW w:w="6628" w:type="dxa"/>
            <w:shd w:val="clear" w:color="auto" w:fill="auto"/>
            <w:vAlign w:val="center"/>
          </w:tcPr>
          <w:p>
            <w:pPr>
              <w:widowControl/>
              <w:spacing w:line="300" w:lineRule="exact"/>
              <w:textAlignment w:val="center"/>
              <w:rPr>
                <w:rFonts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负责协助公司进行能源领域基础设施公募REITs项目开发；负责组织开展项目尽调、项目方案设计、项目论证等工作；负责组织项目材料制作及整理；负责与各相关部委进行项目沟通及汇报；负责协调财务顾问、会计师、资产评估机构、律师等工作开展情况；负责组织汇报材料，定期完成项目进度报告；完成上级交办的其他工作。</w:t>
            </w:r>
          </w:p>
        </w:tc>
        <w:tc>
          <w:tcPr>
            <w:tcW w:w="6025" w:type="dxa"/>
            <w:shd w:val="clear" w:color="auto" w:fill="auto"/>
            <w:vAlign w:val="center"/>
          </w:tcPr>
          <w:p>
            <w:pPr>
              <w:widowControl/>
              <w:spacing w:line="300" w:lineRule="exact"/>
              <w:textAlignment w:val="center"/>
              <w:rPr>
                <w:rFonts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专业不限；具有8年及以上企业资本运作经验，主导过资产IPO、类REITs等项目，熟悉项目尽调、交易结构搭建、财务测算等；熟悉REITs监管政策，了解市场动态；CPA、律师从业资格、保荐人优先；有电网、发电、新能源行业工作经验优先；通过基金从业资格考试，具有基金从业资格者优先；具备良好的文字材料能力有自主开拓精神，积极进取，勇于挑战，风控合规意识强，无任何不良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0" w:hRule="atLeast"/>
          <w:jc w:val="center"/>
        </w:trPr>
        <w:tc>
          <w:tcPr>
            <w:tcW w:w="544"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sz w:val="24"/>
                <w:szCs w:val="24"/>
                <w:lang w:eastAsia="zh-CN"/>
              </w:rPr>
            </w:pPr>
            <w:r>
              <w:rPr>
                <w:rFonts w:hint="eastAsia" w:ascii="方正仿宋_GBK" w:hAnsi="方正仿宋_GB2312" w:eastAsia="方正仿宋_GBK" w:cs="方正仿宋_GB2312"/>
                <w:color w:val="000000"/>
                <w:kern w:val="0"/>
                <w:sz w:val="24"/>
                <w:szCs w:val="24"/>
                <w:lang w:val="en-US" w:eastAsia="zh-CN"/>
              </w:rPr>
              <w:t>2</w:t>
            </w:r>
          </w:p>
        </w:tc>
        <w:tc>
          <w:tcPr>
            <w:tcW w:w="947"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互联网金融部</w:t>
            </w:r>
          </w:p>
        </w:tc>
        <w:tc>
          <w:tcPr>
            <w:tcW w:w="913"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项目管理岗（数据管理）</w:t>
            </w:r>
          </w:p>
        </w:tc>
        <w:tc>
          <w:tcPr>
            <w:tcW w:w="562"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sz w:val="24"/>
                <w:szCs w:val="24"/>
              </w:rPr>
              <w:t>1</w:t>
            </w:r>
          </w:p>
        </w:tc>
        <w:tc>
          <w:tcPr>
            <w:tcW w:w="6628" w:type="dxa"/>
            <w:shd w:val="clear" w:color="auto" w:fill="auto"/>
            <w:vAlign w:val="center"/>
          </w:tcPr>
          <w:p>
            <w:pPr>
              <w:widowControl/>
              <w:spacing w:line="300" w:lineRule="exact"/>
              <w:textAlignment w:val="center"/>
              <w:rPr>
                <w:rFonts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负责公司数据整合、数据治理，负责企业数据现状梳理、分析数据孤岛、数据质量等问题，制定数据治理方案并组织落实；负责公司数据架构规划、设计及持续改进，负责协同业务部门完成数据资产目录、数据标准及编码、数据模型及数据分布流向设计，统筹企业内外部各类应用系统的数据集成交互，保障企业数据贯通；负责公司数据平台建设，负责平台相关数据分析、设计、开发、推广、维护等工作；负责公司数据指标体系建设，负责根据业务管理目标组织制定数据解决方案，指导各类数据分析应用建设；完成上级交办的其他工作。</w:t>
            </w:r>
          </w:p>
        </w:tc>
        <w:tc>
          <w:tcPr>
            <w:tcW w:w="6025" w:type="dxa"/>
            <w:shd w:val="clear" w:color="auto" w:fill="auto"/>
            <w:vAlign w:val="center"/>
          </w:tcPr>
          <w:p>
            <w:pPr>
              <w:widowControl/>
              <w:spacing w:line="300" w:lineRule="exact"/>
              <w:textAlignment w:val="center"/>
              <w:rPr>
                <w:rFonts w:hint="eastAsia"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计算机、工程管理、信息系统管理、管理科学与工程等相关专业；具有5年及以上数据治理从业经验，熟悉数据仓库模型设计，有相关模型设计经验，掌握hadoop、hive、spark等大数据框架原理及应用；具有企业级数据管理和治理实施经验，具有基金行业数据治理经验者优先；具有java开发经验，能够熟悉常用的微服务框架和springCloud、Dubbo框架者优先；通过基金从业资格考试，具有基金从业资格者优先；熟悉工程项目管理流程，并具备相关信息化建设及数据管理知识；具备良好的分析能力，擅长信息整合与提炼，具备较好的沟通能力，风控合规意识强，无任何不良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44"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sz w:val="24"/>
                <w:szCs w:val="24"/>
                <w:lang w:eastAsia="zh-CN"/>
              </w:rPr>
            </w:pPr>
            <w:r>
              <w:rPr>
                <w:rFonts w:hint="eastAsia" w:ascii="方正仿宋_GBK" w:hAnsi="方正仿宋_GB2312" w:eastAsia="方正仿宋_GBK" w:cs="方正仿宋_GB2312"/>
                <w:color w:val="000000"/>
                <w:kern w:val="0"/>
                <w:sz w:val="24"/>
                <w:szCs w:val="24"/>
                <w:lang w:val="en-US" w:eastAsia="zh-CN"/>
              </w:rPr>
              <w:t>3</w:t>
            </w:r>
          </w:p>
        </w:tc>
        <w:tc>
          <w:tcPr>
            <w:tcW w:w="947"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英大资本</w:t>
            </w:r>
          </w:p>
          <w:p>
            <w:pPr>
              <w:widowControl/>
              <w:spacing w:line="300" w:lineRule="exact"/>
              <w:jc w:val="center"/>
              <w:textAlignment w:val="center"/>
              <w:rPr>
                <w:rFonts w:ascii="方正仿宋_GBK" w:hAnsi="方正仿宋_GB2312" w:eastAsia="方正仿宋_GBK" w:cs="方正仿宋_GB2312"/>
                <w:color w:val="000000"/>
                <w:sz w:val="24"/>
                <w:szCs w:val="24"/>
              </w:rPr>
            </w:pPr>
            <w:bookmarkStart w:id="0" w:name="_GoBack"/>
            <w:bookmarkEnd w:id="0"/>
            <w:r>
              <w:rPr>
                <w:rFonts w:hint="eastAsia" w:ascii="方正仿宋_GBK" w:hAnsi="方正仿宋_GB2312" w:eastAsia="方正仿宋_GBK" w:cs="方正仿宋_GB2312"/>
                <w:color w:val="000000"/>
                <w:kern w:val="0"/>
                <w:sz w:val="24"/>
                <w:szCs w:val="24"/>
              </w:rPr>
              <w:t>风险合规部</w:t>
            </w:r>
          </w:p>
        </w:tc>
        <w:tc>
          <w:tcPr>
            <w:tcW w:w="913"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风险控制岗</w:t>
            </w:r>
          </w:p>
        </w:tc>
        <w:tc>
          <w:tcPr>
            <w:tcW w:w="562"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ascii="方正仿宋_GBK" w:hAnsi="方正仿宋_GB2312" w:eastAsia="方正仿宋_GBK" w:cs="方正仿宋_GB2312"/>
                <w:color w:val="000000"/>
                <w:sz w:val="24"/>
                <w:szCs w:val="24"/>
              </w:rPr>
              <w:t>2</w:t>
            </w:r>
          </w:p>
        </w:tc>
        <w:tc>
          <w:tcPr>
            <w:tcW w:w="6628" w:type="dxa"/>
            <w:shd w:val="clear" w:color="auto" w:fill="auto"/>
            <w:vAlign w:val="center"/>
          </w:tcPr>
          <w:p>
            <w:pPr>
              <w:widowControl/>
              <w:spacing w:line="300" w:lineRule="exact"/>
              <w:textAlignment w:val="center"/>
              <w:rPr>
                <w:rFonts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拟订风险偏好和风险限额，制定《风险控制制度》、《投后管理办法》等风险管理制度，持续改进风险管理手段和方法；建立交易对手准入制度，明确交易对手准入标准。据业务发展战略及风险偏好，对业务范围实施清单化管理，建立健全增信措施准入机制，加强风险源头控制；监督项目立项决策流程，对项目运作风险的动态监测分析，保障程序依法合规；定期组织开展风险识别、监测、计量、评估，针对项目运作以及经营管理中的风险隐患，及时进行风险提示；参与处置风险项目，针对严重违规行为及重大风险事件，及时组织召开风险控制委员会会议拟订解决方案，待提请决策机构审定后组织实施；按照重大事项报告机制，及时向部门负责人报告有关事项，提出应对建议；定期或不定期组织召开风险控制委员会会议；完成上级交办的其他工作。</w:t>
            </w:r>
          </w:p>
        </w:tc>
        <w:tc>
          <w:tcPr>
            <w:tcW w:w="6025" w:type="dxa"/>
            <w:shd w:val="clear" w:color="auto" w:fill="auto"/>
            <w:vAlign w:val="center"/>
          </w:tcPr>
          <w:p>
            <w:pPr>
              <w:widowControl/>
              <w:spacing w:line="300" w:lineRule="exact"/>
              <w:textAlignment w:val="center"/>
              <w:rPr>
                <w:rFonts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法律、财务、金融、投资相关专业；具有3年以上相关工作经验，熟悉资产管理相关业务；FRM、律师、注册会计师优先；通过基金从业资格考试，具有基金从业资格者优先；具有会计师事务所、律师事务所资管业务项目尽调工作经验或具有金融机构资管业务承做工作经验或具有金融机构风险控制相关、风险处置相关工作经验；  抗压能力强，具有团队合作精神，风控合规意识强，无任何不良记录。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4" w:hRule="atLeast"/>
          <w:jc w:val="center"/>
        </w:trPr>
        <w:tc>
          <w:tcPr>
            <w:tcW w:w="544"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sz w:val="24"/>
                <w:szCs w:val="24"/>
                <w:lang w:eastAsia="zh-CN"/>
              </w:rPr>
            </w:pPr>
            <w:r>
              <w:rPr>
                <w:rFonts w:hint="eastAsia" w:ascii="方正仿宋_GBK" w:hAnsi="方正仿宋_GB2312" w:eastAsia="方正仿宋_GBK" w:cs="方正仿宋_GB2312"/>
                <w:color w:val="000000"/>
                <w:kern w:val="0"/>
                <w:sz w:val="24"/>
                <w:szCs w:val="24"/>
                <w:lang w:val="en-US" w:eastAsia="zh-CN"/>
              </w:rPr>
              <w:t>4</w:t>
            </w:r>
          </w:p>
        </w:tc>
        <w:tc>
          <w:tcPr>
            <w:tcW w:w="947" w:type="dxa"/>
            <w:shd w:val="clear" w:color="auto" w:fill="auto"/>
            <w:noWrap/>
            <w:vAlign w:val="center"/>
          </w:tcPr>
          <w:p>
            <w:pPr>
              <w:widowControl/>
              <w:spacing w:line="300" w:lineRule="exact"/>
              <w:jc w:val="center"/>
              <w:textAlignment w:val="center"/>
              <w:rPr>
                <w:rFonts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英大资本</w:t>
            </w:r>
          </w:p>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风险合规部</w:t>
            </w:r>
          </w:p>
        </w:tc>
        <w:tc>
          <w:tcPr>
            <w:tcW w:w="913"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法务合规岗</w:t>
            </w:r>
          </w:p>
        </w:tc>
        <w:tc>
          <w:tcPr>
            <w:tcW w:w="562"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ascii="方正仿宋_GBK" w:hAnsi="方正仿宋_GB2312" w:eastAsia="方正仿宋_GBK" w:cs="方正仿宋_GB2312"/>
                <w:color w:val="000000"/>
                <w:sz w:val="24"/>
                <w:szCs w:val="24"/>
              </w:rPr>
              <w:t>1</w:t>
            </w:r>
          </w:p>
        </w:tc>
        <w:tc>
          <w:tcPr>
            <w:tcW w:w="6628" w:type="dxa"/>
            <w:shd w:val="clear" w:color="auto" w:fill="auto"/>
            <w:vAlign w:val="center"/>
          </w:tcPr>
          <w:p>
            <w:pPr>
              <w:widowControl/>
              <w:spacing w:line="300" w:lineRule="exact"/>
              <w:textAlignment w:val="center"/>
              <w:rPr>
                <w:rFonts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制订和执行合规管理制度，围绕公司运营和项目运作，开展合规监测、合规宣传、合规培训、合规审查等，强化全员合规意识，防控合规风险；组织建立健全内部规章制度体系，编制作业手册，不断规范业务流程；审核内部规章制度、重大决策、新产品、新业务方案等重大管理事项的合规性；组织开展合规自查自纠，及时消除合规风险隐患；与监管机构建立常态联系机制，持续跟踪监管动态，对接并组织落实监管要求，及时向监管机构反馈相关情况；按照部门职责分工，定期或不定期向监管机构、行业协会、上级单位报送相关报告报表及资料文件；协同处置风险项目以及信访举报和投诉事宜；审核业务宣传推介材料、各类合同协议、函件、对外报送或披露信息的合规性；为公司治理、增资扩股、股权转让、招投标等重大经济活动提供法律合规支持；处理或委托律师事务所处理诉讼、仲裁等法律事务；选聘和管理常年法律顾问，为公司提供法律咨询、起草法律文件、出具法律意见书等服务；建立健全反洗钱内部控制制度体系，组织落实客户身份识别义务以及投资者适当性管理义务，监测和上报可疑交易；开展非居民金融账户涉税信息尽职调查并报送相关信息；完成上级交办的其他工作。</w:t>
            </w:r>
          </w:p>
        </w:tc>
        <w:tc>
          <w:tcPr>
            <w:tcW w:w="6025" w:type="dxa"/>
            <w:shd w:val="clear" w:color="auto" w:fill="auto"/>
            <w:vAlign w:val="center"/>
          </w:tcPr>
          <w:p>
            <w:pPr>
              <w:widowControl/>
              <w:spacing w:line="300" w:lineRule="exact"/>
              <w:textAlignment w:val="center"/>
              <w:rPr>
                <w:rFonts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法律等相关专业；具有3年以上基金子公司合规管理工作经验，熟悉基金子公司合规管理体系，熟悉资管业务相关法律法规；有律师事务所资管业务项目尽调工作经验优先；通过基金从业资格考试，具有基金从业资格者优先；具有高度的敬业精神、责任心，具有团队合作精神，风控合规意识强，无任何不良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3" w:hRule="atLeast"/>
          <w:jc w:val="center"/>
        </w:trPr>
        <w:tc>
          <w:tcPr>
            <w:tcW w:w="544"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sz w:val="24"/>
                <w:szCs w:val="24"/>
                <w:lang w:eastAsia="zh-CN"/>
              </w:rPr>
            </w:pPr>
            <w:r>
              <w:rPr>
                <w:rFonts w:hint="eastAsia" w:ascii="方正仿宋_GBK" w:hAnsi="方正仿宋_GB2312" w:eastAsia="方正仿宋_GBK" w:cs="方正仿宋_GB2312"/>
                <w:color w:val="000000"/>
                <w:kern w:val="0"/>
                <w:sz w:val="24"/>
                <w:szCs w:val="24"/>
                <w:lang w:val="en-US" w:eastAsia="zh-CN"/>
              </w:rPr>
              <w:t>5</w:t>
            </w:r>
          </w:p>
        </w:tc>
        <w:tc>
          <w:tcPr>
            <w:tcW w:w="947" w:type="dxa"/>
            <w:shd w:val="clear" w:color="auto" w:fill="auto"/>
            <w:vAlign w:val="center"/>
          </w:tcPr>
          <w:p>
            <w:pPr>
              <w:widowControl/>
              <w:tabs>
                <w:tab w:val="left" w:pos="389"/>
              </w:tabs>
              <w:spacing w:line="300" w:lineRule="exact"/>
              <w:jc w:val="center"/>
              <w:textAlignment w:val="center"/>
              <w:rPr>
                <w:rFonts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英大资本</w:t>
            </w:r>
          </w:p>
          <w:p>
            <w:pPr>
              <w:widowControl/>
              <w:tabs>
                <w:tab w:val="left" w:pos="389"/>
              </w:tabs>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投行部</w:t>
            </w:r>
          </w:p>
        </w:tc>
        <w:tc>
          <w:tcPr>
            <w:tcW w:w="913"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项目经理（能源行业研究方向）</w:t>
            </w:r>
          </w:p>
        </w:tc>
        <w:tc>
          <w:tcPr>
            <w:tcW w:w="562"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sz w:val="24"/>
                <w:szCs w:val="24"/>
              </w:rPr>
              <w:t>1</w:t>
            </w:r>
          </w:p>
        </w:tc>
        <w:tc>
          <w:tcPr>
            <w:tcW w:w="6628" w:type="dxa"/>
            <w:shd w:val="clear" w:color="auto" w:fill="auto"/>
            <w:vAlign w:val="center"/>
          </w:tcPr>
          <w:p>
            <w:pPr>
              <w:widowControl/>
              <w:spacing w:line="300" w:lineRule="exact"/>
              <w:textAlignment w:val="center"/>
              <w:rPr>
                <w:rFonts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国内外光伏、风电、储能等新能源相关领域开展行业研究，收集、整理和分析行业信息及数据；建立行业及公司分析框架，独立撰写行业研究报告及公司分析报告，提出投资建议；按照公司要求，及时发现市场热点，并寻找到合适投资标的，撰写投资研究报告；负责研究资料与数据的收集与整理、模型搭建等工作；完成上级交办的其他工作。</w:t>
            </w:r>
          </w:p>
        </w:tc>
        <w:tc>
          <w:tcPr>
            <w:tcW w:w="6025" w:type="dxa"/>
            <w:shd w:val="clear" w:color="auto" w:fill="auto"/>
            <w:vAlign w:val="center"/>
          </w:tcPr>
          <w:p>
            <w:pPr>
              <w:widowControl/>
              <w:spacing w:line="300" w:lineRule="exact"/>
              <w:textAlignment w:val="center"/>
              <w:rPr>
                <w:rFonts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理工科专业背景、复合背景优先；具有3年及以上相关行业研究经验，对电力设备、新能源等行业有深刻理解，已经建立完善的研究框架；通过基金从业资格考试，具有基金从业资格者优先；有一定的风险分析能力，并具备一定的风险防控意识；具有良好的沟通能力、责任心和使命感，抗压能力强，具有团队合作精神；学习能力强，洞察、决策和分析能力强，有出色的逻辑思维及推导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2404" w:type="dxa"/>
            <w:gridSpan w:val="3"/>
            <w:shd w:val="clear" w:color="auto" w:fill="auto"/>
            <w:vAlign w:val="center"/>
          </w:tcPr>
          <w:p>
            <w:pPr>
              <w:widowControl/>
              <w:spacing w:line="300" w:lineRule="exact"/>
              <w:jc w:val="center"/>
              <w:textAlignment w:val="center"/>
              <w:rPr>
                <w:rFonts w:ascii="方正仿宋_GBK" w:hAnsi="方正仿宋_GB2312" w:eastAsia="方正仿宋_GBK" w:cs="方正仿宋_GB2312"/>
                <w:b/>
                <w:bCs/>
                <w:color w:val="000000"/>
                <w:sz w:val="24"/>
                <w:szCs w:val="24"/>
              </w:rPr>
            </w:pPr>
            <w:r>
              <w:rPr>
                <w:rFonts w:hint="eastAsia" w:ascii="方正仿宋_GBK" w:hAnsi="方正仿宋_GB2312" w:eastAsia="方正仿宋_GBK" w:cs="方正仿宋_GB2312"/>
                <w:b/>
                <w:bCs/>
                <w:color w:val="000000"/>
                <w:kern w:val="0"/>
                <w:sz w:val="24"/>
                <w:szCs w:val="24"/>
              </w:rPr>
              <w:t>合计</w:t>
            </w:r>
          </w:p>
        </w:tc>
        <w:tc>
          <w:tcPr>
            <w:tcW w:w="13215" w:type="dxa"/>
            <w:gridSpan w:val="3"/>
            <w:shd w:val="clear" w:color="auto" w:fill="auto"/>
            <w:noWrap/>
            <w:vAlign w:val="center"/>
          </w:tcPr>
          <w:p>
            <w:pPr>
              <w:spacing w:line="300" w:lineRule="exact"/>
              <w:jc w:val="center"/>
              <w:rPr>
                <w:rFonts w:ascii="方正仿宋_GBK" w:hAnsi="方正仿宋_GB2312" w:eastAsia="方正仿宋_GBK" w:cs="方正仿宋_GB2312"/>
                <w:b/>
                <w:bCs/>
                <w:color w:val="000000"/>
                <w:sz w:val="24"/>
                <w:szCs w:val="24"/>
              </w:rPr>
            </w:pPr>
            <w:r>
              <w:rPr>
                <w:rFonts w:hint="eastAsia" w:ascii="方正仿宋_GBK" w:hAnsi="方正仿宋_GB2312" w:eastAsia="方正仿宋_GBK" w:cs="方正仿宋_GB2312"/>
                <w:color w:val="000000"/>
                <w:sz w:val="24"/>
                <w:szCs w:val="24"/>
              </w:rPr>
              <w:t>共</w:t>
            </w:r>
            <w:r>
              <w:rPr>
                <w:rFonts w:hint="eastAsia" w:ascii="方正仿宋_GBK" w:hAnsi="方正仿宋_GB2312" w:eastAsia="方正仿宋_GBK" w:cs="方正仿宋_GB2312"/>
                <w:color w:val="000000"/>
                <w:sz w:val="24"/>
                <w:szCs w:val="24"/>
                <w:lang w:val="en-US" w:eastAsia="zh-CN"/>
              </w:rPr>
              <w:t>6</w:t>
            </w:r>
            <w:r>
              <w:rPr>
                <w:rFonts w:hint="eastAsia" w:ascii="方正仿宋_GBK" w:hAnsi="方正仿宋_GB2312" w:eastAsia="方正仿宋_GBK" w:cs="方正仿宋_GB2312"/>
                <w:color w:val="000000"/>
                <w:sz w:val="24"/>
                <w:szCs w:val="24"/>
              </w:rPr>
              <w:t>人</w:t>
            </w:r>
          </w:p>
        </w:tc>
      </w:tr>
    </w:tbl>
    <w:p/>
    <w:p/>
    <w:p/>
    <w:p/>
    <w:p/>
    <w:p/>
    <w:p/>
    <w:p/>
    <w:p/>
    <w:p/>
    <w:p/>
    <w:p/>
    <w:p/>
    <w:p/>
    <w:p/>
    <w:p/>
    <w:tbl>
      <w:tblPr>
        <w:tblStyle w:val="5"/>
        <w:tblW w:w="156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544"/>
        <w:gridCol w:w="947"/>
        <w:gridCol w:w="913"/>
        <w:gridCol w:w="550"/>
        <w:gridCol w:w="6640"/>
        <w:gridCol w:w="6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567" w:hRule="exact"/>
          <w:jc w:val="center"/>
        </w:trPr>
        <w:tc>
          <w:tcPr>
            <w:tcW w:w="15619" w:type="dxa"/>
            <w:gridSpan w:val="6"/>
            <w:shd w:val="clear" w:color="auto" w:fill="auto"/>
            <w:vAlign w:val="center"/>
          </w:tcPr>
          <w:p>
            <w:pPr>
              <w:widowControl/>
              <w:spacing w:line="300" w:lineRule="exact"/>
              <w:jc w:val="left"/>
              <w:textAlignment w:val="center"/>
              <w:rPr>
                <w:rFonts w:hint="eastAsia" w:ascii="方正仿宋_GBK" w:hAnsi="方正仿宋_GB2312" w:eastAsia="方正仿宋_GBK" w:cs="方正仿宋_GB2312"/>
                <w:b/>
                <w:bCs/>
                <w:color w:val="000000"/>
                <w:sz w:val="24"/>
                <w:szCs w:val="24"/>
                <w:highlight w:val="none"/>
                <w:lang w:eastAsia="zh-CN"/>
              </w:rPr>
            </w:pPr>
            <w:r>
              <w:rPr>
                <w:rFonts w:hint="eastAsia" w:ascii="方正仿宋_GBK" w:hAnsi="方正仿宋_GB2312" w:eastAsia="方正仿宋_GBK" w:cs="方正仿宋_GB2312"/>
                <w:b/>
                <w:bCs/>
                <w:color w:val="000000"/>
                <w:sz w:val="24"/>
                <w:szCs w:val="24"/>
                <w:highlight w:val="none"/>
                <w:lang w:eastAsia="zh-CN"/>
              </w:rPr>
              <w:t>国网英大产业投资基金管理有限公司：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44"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b/>
                <w:bCs/>
                <w:color w:val="000000"/>
                <w:kern w:val="0"/>
                <w:sz w:val="24"/>
                <w:szCs w:val="24"/>
                <w:highlight w:val="none"/>
              </w:rPr>
            </w:pPr>
            <w:r>
              <w:rPr>
                <w:rFonts w:hint="eastAsia" w:ascii="方正仿宋_GBK" w:hAnsi="方正仿宋_GB2312" w:eastAsia="方正仿宋_GBK" w:cs="方正仿宋_GB2312"/>
                <w:b/>
                <w:bCs/>
                <w:color w:val="000000"/>
                <w:kern w:val="0"/>
                <w:sz w:val="24"/>
                <w:szCs w:val="24"/>
                <w:highlight w:val="none"/>
              </w:rPr>
              <w:t>序号</w:t>
            </w:r>
          </w:p>
        </w:tc>
        <w:tc>
          <w:tcPr>
            <w:tcW w:w="947"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b/>
                <w:bCs/>
                <w:color w:val="000000"/>
                <w:kern w:val="0"/>
                <w:sz w:val="24"/>
                <w:szCs w:val="24"/>
                <w:highlight w:val="none"/>
              </w:rPr>
            </w:pPr>
            <w:r>
              <w:rPr>
                <w:rFonts w:hint="eastAsia" w:ascii="方正仿宋_GBK" w:hAnsi="方正仿宋_GB2312" w:eastAsia="方正仿宋_GBK" w:cs="方正仿宋_GB2312"/>
                <w:b/>
                <w:bCs/>
                <w:color w:val="000000"/>
                <w:kern w:val="0"/>
                <w:sz w:val="24"/>
                <w:szCs w:val="24"/>
                <w:highlight w:val="none"/>
              </w:rPr>
              <w:t>部门</w:t>
            </w:r>
          </w:p>
        </w:tc>
        <w:tc>
          <w:tcPr>
            <w:tcW w:w="913"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b/>
                <w:bCs/>
                <w:color w:val="000000"/>
                <w:kern w:val="0"/>
                <w:sz w:val="24"/>
                <w:szCs w:val="24"/>
                <w:highlight w:val="none"/>
              </w:rPr>
            </w:pPr>
            <w:r>
              <w:rPr>
                <w:rFonts w:hint="eastAsia" w:ascii="方正仿宋_GBK" w:hAnsi="方正仿宋_GB2312" w:eastAsia="方正仿宋_GBK" w:cs="方正仿宋_GB2312"/>
                <w:b/>
                <w:bCs/>
                <w:color w:val="000000"/>
                <w:kern w:val="0"/>
                <w:sz w:val="24"/>
                <w:szCs w:val="24"/>
                <w:highlight w:val="none"/>
              </w:rPr>
              <w:t>岗位名称</w:t>
            </w:r>
          </w:p>
        </w:tc>
        <w:tc>
          <w:tcPr>
            <w:tcW w:w="550"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b/>
                <w:bCs/>
                <w:color w:val="000000"/>
                <w:kern w:val="0"/>
                <w:sz w:val="24"/>
                <w:szCs w:val="24"/>
                <w:highlight w:val="none"/>
              </w:rPr>
            </w:pPr>
            <w:r>
              <w:rPr>
                <w:rFonts w:hint="eastAsia" w:ascii="方正仿宋_GBK" w:hAnsi="方正仿宋_GB2312" w:eastAsia="方正仿宋_GBK" w:cs="方正仿宋_GB2312"/>
                <w:b/>
                <w:bCs/>
                <w:color w:val="000000"/>
                <w:kern w:val="0"/>
                <w:sz w:val="24"/>
                <w:szCs w:val="24"/>
                <w:highlight w:val="none"/>
              </w:rPr>
              <w:t>人数</w:t>
            </w:r>
          </w:p>
        </w:tc>
        <w:tc>
          <w:tcPr>
            <w:tcW w:w="6640"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b/>
                <w:bCs/>
                <w:color w:val="000000"/>
                <w:kern w:val="0"/>
                <w:sz w:val="24"/>
                <w:szCs w:val="24"/>
                <w:highlight w:val="none"/>
              </w:rPr>
            </w:pPr>
            <w:r>
              <w:rPr>
                <w:rFonts w:hint="eastAsia" w:ascii="方正仿宋_GBK" w:hAnsi="方正仿宋_GB2312" w:eastAsia="方正仿宋_GBK" w:cs="方正仿宋_GB2312"/>
                <w:b/>
                <w:bCs/>
                <w:color w:val="000000"/>
                <w:kern w:val="0"/>
                <w:sz w:val="24"/>
                <w:szCs w:val="24"/>
                <w:highlight w:val="none"/>
              </w:rPr>
              <w:t>岗位职责</w:t>
            </w:r>
          </w:p>
        </w:tc>
        <w:tc>
          <w:tcPr>
            <w:tcW w:w="6025"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b/>
                <w:bCs/>
                <w:color w:val="000000"/>
                <w:kern w:val="0"/>
                <w:sz w:val="24"/>
                <w:szCs w:val="24"/>
                <w:highlight w:val="none"/>
              </w:rPr>
            </w:pPr>
            <w:r>
              <w:rPr>
                <w:rFonts w:hint="eastAsia" w:ascii="方正仿宋_GBK" w:hAnsi="方正仿宋_GB2312" w:eastAsia="方正仿宋_GBK" w:cs="方正仿宋_GB2312"/>
                <w:b/>
                <w:bCs/>
                <w:color w:val="000000"/>
                <w:kern w:val="0"/>
                <w:sz w:val="24"/>
                <w:szCs w:val="24"/>
                <w:highlight w:val="none"/>
              </w:rPr>
              <w:t>任职条件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44"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kern w:val="0"/>
                <w:sz w:val="24"/>
                <w:szCs w:val="24"/>
                <w:highlight w:val="none"/>
              </w:rPr>
            </w:pPr>
            <w:r>
              <w:rPr>
                <w:rFonts w:hint="eastAsia" w:ascii="方正仿宋_GBK" w:hAnsi="方正仿宋_GB2312" w:eastAsia="方正仿宋_GBK" w:cs="方正仿宋_GB2312"/>
                <w:color w:val="000000"/>
                <w:kern w:val="0"/>
                <w:sz w:val="24"/>
                <w:szCs w:val="24"/>
                <w:highlight w:val="none"/>
                <w:lang w:val="en-US" w:eastAsia="zh-CN"/>
              </w:rPr>
              <w:t>1</w:t>
            </w:r>
          </w:p>
        </w:tc>
        <w:tc>
          <w:tcPr>
            <w:tcW w:w="947"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sz w:val="24"/>
                <w:szCs w:val="24"/>
                <w:highlight w:val="none"/>
                <w:lang w:eastAsia="zh-CN"/>
              </w:rPr>
            </w:pPr>
            <w:r>
              <w:rPr>
                <w:rFonts w:hint="eastAsia" w:ascii="方正仿宋_GBK" w:hAnsi="方正仿宋_GB2312" w:eastAsia="方正仿宋_GBK" w:cs="方正仿宋_GB2312"/>
                <w:color w:val="000000"/>
                <w:sz w:val="24"/>
                <w:szCs w:val="24"/>
                <w:highlight w:val="none"/>
                <w:lang w:val="en-US" w:eastAsia="zh-CN"/>
              </w:rPr>
              <w:t>资金募集部</w:t>
            </w:r>
          </w:p>
        </w:tc>
        <w:tc>
          <w:tcPr>
            <w:tcW w:w="913"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sz w:val="24"/>
                <w:szCs w:val="24"/>
                <w:highlight w:val="none"/>
                <w:lang w:val="en-US" w:eastAsia="zh-CN"/>
              </w:rPr>
            </w:pPr>
            <w:r>
              <w:rPr>
                <w:rFonts w:hint="eastAsia" w:ascii="方正仿宋_GBK" w:hAnsi="方正仿宋_GB2312" w:eastAsia="方正仿宋_GBK" w:cs="方正仿宋_GB2312"/>
                <w:color w:val="000000"/>
                <w:sz w:val="24"/>
                <w:szCs w:val="24"/>
                <w:highlight w:val="none"/>
                <w:lang w:val="en-US" w:eastAsia="zh-CN"/>
              </w:rPr>
              <w:t>资金募集岗</w:t>
            </w:r>
          </w:p>
        </w:tc>
        <w:tc>
          <w:tcPr>
            <w:tcW w:w="550" w:type="dxa"/>
            <w:shd w:val="clear" w:color="auto" w:fill="auto"/>
            <w:vAlign w:val="center"/>
          </w:tcPr>
          <w:p>
            <w:pPr>
              <w:widowControl/>
              <w:spacing w:line="300" w:lineRule="exact"/>
              <w:jc w:val="center"/>
              <w:textAlignment w:val="center"/>
              <w:rPr>
                <w:rFonts w:hint="default" w:ascii="方正仿宋_GBK" w:hAnsi="方正仿宋_GB2312" w:eastAsia="方正仿宋_GBK" w:cs="方正仿宋_GB2312"/>
                <w:color w:val="000000"/>
                <w:sz w:val="24"/>
                <w:szCs w:val="24"/>
                <w:highlight w:val="none"/>
                <w:lang w:val="en-US" w:eastAsia="zh-CN"/>
              </w:rPr>
            </w:pPr>
            <w:r>
              <w:rPr>
                <w:rFonts w:hint="eastAsia" w:ascii="方正仿宋_GBK" w:hAnsi="方正仿宋_GB2312" w:eastAsia="方正仿宋_GBK" w:cs="方正仿宋_GB2312"/>
                <w:color w:val="000000"/>
                <w:sz w:val="24"/>
                <w:szCs w:val="24"/>
                <w:highlight w:val="none"/>
                <w:lang w:val="en-US" w:eastAsia="zh-CN"/>
              </w:rPr>
              <w:t>1</w:t>
            </w:r>
          </w:p>
        </w:tc>
        <w:tc>
          <w:tcPr>
            <w:tcW w:w="6640" w:type="dxa"/>
            <w:shd w:val="clear" w:color="auto" w:fill="auto"/>
            <w:vAlign w:val="center"/>
          </w:tcPr>
          <w:p>
            <w:pPr>
              <w:widowControl/>
              <w:spacing w:line="300" w:lineRule="exact"/>
              <w:textAlignment w:val="center"/>
              <w:rPr>
                <w:rFonts w:hint="eastAsia" w:ascii="方正仿宋_GBK" w:hAnsi="方正仿宋_GB2312" w:eastAsia="方正仿宋_GBK" w:cs="方正仿宋_GB2312"/>
                <w:color w:val="000000"/>
                <w:kern w:val="0"/>
                <w:sz w:val="24"/>
                <w:szCs w:val="24"/>
                <w:highlight w:val="none"/>
                <w:lang w:val="en-US" w:eastAsia="zh-CN"/>
              </w:rPr>
            </w:pPr>
            <w:r>
              <w:rPr>
                <w:rFonts w:hint="eastAsia" w:ascii="方正仿宋_GBK" w:hAnsi="方正仿宋_GB2312" w:eastAsia="方正仿宋_GBK" w:cs="方正仿宋_GB2312"/>
                <w:color w:val="000000"/>
                <w:kern w:val="0"/>
                <w:sz w:val="24"/>
                <w:szCs w:val="24"/>
                <w:highlight w:val="none"/>
                <w:lang w:val="en-US" w:eastAsia="zh-CN"/>
              </w:rPr>
              <w:t>配合编制和执行战略和产业类基金资金募集计划及方案，实施募资方案；负责资金市场信息采集分析，市场化资金渠道研究以及相关募资材料编制；负责地方政府政策、引导基金、集体企业等出资渠道研究，完成募资材料编制；负责组织设计地方政府引导基金、政府相关部门、国网系统产研单位、保险银行、市场化母基金、上市公司及民营企业等金融机构及市场机构投资者关系维护等机构合作及投资者关系管理；组织项目路演、专项沟通、论坛等活动、广泛建立募资渠道以及募资信息库的编制和维护。</w:t>
            </w:r>
          </w:p>
        </w:tc>
        <w:tc>
          <w:tcPr>
            <w:tcW w:w="6025" w:type="dxa"/>
            <w:shd w:val="clear" w:color="auto" w:fill="auto"/>
            <w:vAlign w:val="center"/>
          </w:tcPr>
          <w:p>
            <w:pPr>
              <w:widowControl/>
              <w:spacing w:line="300" w:lineRule="exact"/>
              <w:textAlignment w:val="center"/>
              <w:rPr>
                <w:rFonts w:hint="eastAsia" w:ascii="方正仿宋_GBK" w:hAnsi="方正仿宋_GB2312" w:eastAsia="方正仿宋_GBK" w:cs="方正仿宋_GB2312"/>
                <w:color w:val="000000"/>
                <w:kern w:val="0"/>
                <w:sz w:val="24"/>
                <w:szCs w:val="24"/>
                <w:highlight w:val="none"/>
                <w:lang w:val="en-US" w:eastAsia="zh-CN"/>
              </w:rPr>
            </w:pPr>
            <w:r>
              <w:rPr>
                <w:rFonts w:hint="eastAsia" w:ascii="方正仿宋_GBK" w:hAnsi="方正仿宋_GB2312" w:eastAsia="方正仿宋_GBK" w:cs="方正仿宋_GB2312"/>
                <w:color w:val="000000"/>
                <w:kern w:val="0"/>
                <w:sz w:val="24"/>
                <w:szCs w:val="24"/>
                <w:highlight w:val="none"/>
                <w:lang w:val="en-US" w:eastAsia="zh-CN"/>
              </w:rPr>
              <w:t>财务、经济、金融、能源电力相关领域专业；有投资、资金管理相关知识；有CPA、CFA、FRM、基金从业资格者优先；有良好的沟通能力。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44"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kern w:val="0"/>
                <w:sz w:val="24"/>
                <w:szCs w:val="24"/>
                <w:highlight w:val="none"/>
              </w:rPr>
            </w:pPr>
            <w:r>
              <w:rPr>
                <w:rFonts w:hint="eastAsia" w:ascii="方正仿宋_GBK" w:hAnsi="方正仿宋_GB2312" w:eastAsia="方正仿宋_GBK" w:cs="方正仿宋_GB2312"/>
                <w:color w:val="000000"/>
                <w:kern w:val="0"/>
                <w:sz w:val="24"/>
                <w:szCs w:val="24"/>
                <w:highlight w:val="none"/>
                <w:lang w:val="en-US" w:eastAsia="zh-CN"/>
              </w:rPr>
              <w:t>2</w:t>
            </w:r>
          </w:p>
        </w:tc>
        <w:tc>
          <w:tcPr>
            <w:tcW w:w="947"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sz w:val="24"/>
                <w:szCs w:val="24"/>
                <w:highlight w:val="none"/>
                <w:lang w:eastAsia="zh-CN"/>
              </w:rPr>
            </w:pPr>
            <w:r>
              <w:rPr>
                <w:rFonts w:hint="eastAsia" w:ascii="方正仿宋_GBK" w:hAnsi="方正仿宋_GB2312" w:eastAsia="方正仿宋_GBK" w:cs="方正仿宋_GB2312"/>
                <w:color w:val="000000"/>
                <w:sz w:val="24"/>
                <w:szCs w:val="24"/>
                <w:highlight w:val="none"/>
                <w:lang w:val="en-US" w:eastAsia="zh-CN"/>
              </w:rPr>
              <w:t>投资管理部</w:t>
            </w:r>
          </w:p>
        </w:tc>
        <w:tc>
          <w:tcPr>
            <w:tcW w:w="913"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sz w:val="24"/>
                <w:szCs w:val="24"/>
                <w:highlight w:val="none"/>
                <w:lang w:val="en-US" w:eastAsia="zh-CN"/>
              </w:rPr>
            </w:pPr>
            <w:r>
              <w:rPr>
                <w:rFonts w:hint="eastAsia" w:ascii="方正仿宋_GBK" w:hAnsi="方正仿宋_GB2312" w:eastAsia="方正仿宋_GBK" w:cs="方正仿宋_GB2312"/>
                <w:color w:val="000000"/>
                <w:sz w:val="24"/>
                <w:szCs w:val="24"/>
                <w:highlight w:val="none"/>
                <w:lang w:val="en-US" w:eastAsia="zh-CN"/>
              </w:rPr>
              <w:t>投资管理岗</w:t>
            </w:r>
          </w:p>
        </w:tc>
        <w:tc>
          <w:tcPr>
            <w:tcW w:w="550" w:type="dxa"/>
            <w:shd w:val="clear" w:color="auto" w:fill="auto"/>
            <w:vAlign w:val="center"/>
          </w:tcPr>
          <w:p>
            <w:pPr>
              <w:widowControl/>
              <w:spacing w:line="300" w:lineRule="exact"/>
              <w:jc w:val="center"/>
              <w:textAlignment w:val="center"/>
              <w:rPr>
                <w:rFonts w:hint="default" w:ascii="方正仿宋_GBK" w:hAnsi="方正仿宋_GB2312" w:eastAsia="方正仿宋_GBK" w:cs="方正仿宋_GB2312"/>
                <w:color w:val="000000"/>
                <w:sz w:val="24"/>
                <w:szCs w:val="24"/>
                <w:highlight w:val="none"/>
                <w:lang w:val="en-US" w:eastAsia="zh-CN"/>
              </w:rPr>
            </w:pPr>
            <w:r>
              <w:rPr>
                <w:rFonts w:hint="eastAsia" w:ascii="方正仿宋_GBK" w:hAnsi="方正仿宋_GB2312" w:eastAsia="方正仿宋_GBK" w:cs="方正仿宋_GB2312"/>
                <w:color w:val="000000"/>
                <w:sz w:val="24"/>
                <w:szCs w:val="24"/>
                <w:highlight w:val="none"/>
                <w:lang w:val="en-US" w:eastAsia="zh-CN"/>
              </w:rPr>
              <w:t>1</w:t>
            </w:r>
          </w:p>
        </w:tc>
        <w:tc>
          <w:tcPr>
            <w:tcW w:w="6640" w:type="dxa"/>
            <w:shd w:val="clear" w:color="auto" w:fill="auto"/>
            <w:vAlign w:val="center"/>
          </w:tcPr>
          <w:p>
            <w:pPr>
              <w:widowControl/>
              <w:spacing w:line="300" w:lineRule="exact"/>
              <w:textAlignment w:val="center"/>
              <w:rPr>
                <w:rFonts w:hint="eastAsia" w:ascii="方正仿宋_GBK" w:hAnsi="方正仿宋_GB2312" w:eastAsia="方正仿宋_GBK" w:cs="方正仿宋_GB2312"/>
                <w:color w:val="000000"/>
                <w:kern w:val="0"/>
                <w:sz w:val="24"/>
                <w:szCs w:val="24"/>
                <w:highlight w:val="none"/>
                <w:lang w:val="en-US" w:eastAsia="zh-CN"/>
              </w:rPr>
            </w:pPr>
            <w:r>
              <w:rPr>
                <w:rFonts w:hint="eastAsia" w:ascii="方正仿宋_GBK" w:hAnsi="方正仿宋_GB2312" w:eastAsia="方正仿宋_GBK" w:cs="方正仿宋_GB2312"/>
                <w:color w:val="000000"/>
                <w:kern w:val="0"/>
                <w:sz w:val="24"/>
                <w:szCs w:val="24"/>
                <w:highlight w:val="none"/>
                <w:lang w:val="en-US" w:eastAsia="zh-CN"/>
              </w:rPr>
              <w:t>负责项目的搜寻、尽职调查、可行性分析和评估；负责基金方案的设计、基金设立的立项、投决以及基金的运营管理工作；负责项目初审管理工作，包括根据投资项目的尽调结果，提出项目审查初步意见及募资相关建议、提请相关决策；组织对已投资股权情况进行跟踪，定期或不定期进行评估，分析具体风险；负责公司内部项目会议和基金投委会决策的实施与执行；负责已投资股权的投后管理工作；负责已投资股权转让、退出等投资事项的具体实施。</w:t>
            </w:r>
          </w:p>
        </w:tc>
        <w:tc>
          <w:tcPr>
            <w:tcW w:w="6025" w:type="dxa"/>
            <w:shd w:val="clear" w:color="auto" w:fill="auto"/>
            <w:vAlign w:val="center"/>
          </w:tcPr>
          <w:p>
            <w:pPr>
              <w:widowControl/>
              <w:spacing w:line="300" w:lineRule="exact"/>
              <w:textAlignment w:val="center"/>
              <w:rPr>
                <w:rFonts w:hint="eastAsia" w:ascii="方正仿宋_GBK" w:hAnsi="方正仿宋_GB2312" w:eastAsia="方正仿宋_GBK" w:cs="方正仿宋_GB2312"/>
                <w:color w:val="000000"/>
                <w:kern w:val="0"/>
                <w:sz w:val="24"/>
                <w:szCs w:val="24"/>
                <w:highlight w:val="none"/>
                <w:lang w:val="en-US" w:eastAsia="zh-CN"/>
              </w:rPr>
            </w:pPr>
            <w:r>
              <w:rPr>
                <w:rFonts w:hint="eastAsia" w:ascii="方正仿宋_GBK" w:hAnsi="方正仿宋_GB2312" w:eastAsia="方正仿宋_GBK" w:cs="方正仿宋_GB2312"/>
                <w:color w:val="000000"/>
                <w:kern w:val="0"/>
                <w:sz w:val="24"/>
                <w:szCs w:val="24"/>
                <w:highlight w:val="none"/>
                <w:lang w:val="en-US" w:eastAsia="zh-CN"/>
              </w:rPr>
              <w:t>财务、经济、金融、能源电力相关领域专业；有投资、资金管理相关知识，有CPA、CFA、FRM、基金从业资格、评估师资格证者优先；有良好的沟通能力。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025" w:hRule="atLeast"/>
          <w:jc w:val="center"/>
        </w:trPr>
        <w:tc>
          <w:tcPr>
            <w:tcW w:w="544"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sz w:val="24"/>
                <w:szCs w:val="24"/>
                <w:highlight w:val="none"/>
                <w:lang w:eastAsia="zh-CN"/>
              </w:rPr>
            </w:pPr>
            <w:r>
              <w:rPr>
                <w:rFonts w:hint="eastAsia" w:ascii="方正仿宋_GBK" w:hAnsi="方正仿宋_GB2312" w:eastAsia="方正仿宋_GBK" w:cs="方正仿宋_GB2312"/>
                <w:color w:val="000000"/>
                <w:kern w:val="0"/>
                <w:sz w:val="24"/>
                <w:szCs w:val="24"/>
                <w:highlight w:val="none"/>
                <w:lang w:val="en-US" w:eastAsia="zh-CN"/>
              </w:rPr>
              <w:t>3</w:t>
            </w:r>
          </w:p>
        </w:tc>
        <w:tc>
          <w:tcPr>
            <w:tcW w:w="947" w:type="dxa"/>
            <w:vMerge w:val="restart"/>
            <w:shd w:val="clear" w:color="auto" w:fill="auto"/>
            <w:noWrap/>
            <w:vAlign w:val="center"/>
          </w:tcPr>
          <w:p>
            <w:pPr>
              <w:widowControl/>
              <w:spacing w:line="300" w:lineRule="exact"/>
              <w:jc w:val="center"/>
              <w:textAlignment w:val="center"/>
              <w:rPr>
                <w:rFonts w:ascii="方正仿宋_GBK" w:hAnsi="方正仿宋_GB2312" w:eastAsia="方正仿宋_GBK" w:cs="方正仿宋_GB2312"/>
                <w:color w:val="000000"/>
                <w:sz w:val="24"/>
                <w:szCs w:val="24"/>
                <w:highlight w:val="none"/>
              </w:rPr>
            </w:pPr>
            <w:r>
              <w:rPr>
                <w:rFonts w:hint="eastAsia" w:ascii="方正仿宋_GBK" w:hAnsi="方正仿宋_GB2312" w:eastAsia="方正仿宋_GBK" w:cs="方正仿宋_GB2312"/>
                <w:color w:val="000000"/>
                <w:sz w:val="24"/>
                <w:szCs w:val="24"/>
                <w:highlight w:val="none"/>
              </w:rPr>
              <w:t>风控合规部</w:t>
            </w:r>
          </w:p>
        </w:tc>
        <w:tc>
          <w:tcPr>
            <w:tcW w:w="913"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kern w:val="0"/>
                <w:sz w:val="24"/>
                <w:szCs w:val="24"/>
                <w:highlight w:val="none"/>
                <w:lang w:val="en-US" w:eastAsia="zh-CN"/>
              </w:rPr>
            </w:pPr>
            <w:r>
              <w:rPr>
                <w:rFonts w:hint="eastAsia" w:ascii="方正仿宋_GBK" w:hAnsi="方正仿宋_GB2312" w:eastAsia="方正仿宋_GBK" w:cs="方正仿宋_GB2312"/>
                <w:color w:val="000000"/>
                <w:kern w:val="0"/>
                <w:sz w:val="24"/>
                <w:szCs w:val="24"/>
                <w:highlight w:val="none"/>
                <w:lang w:val="en-US" w:eastAsia="zh-CN"/>
              </w:rPr>
              <w:t>部门负责人（副职）</w:t>
            </w:r>
          </w:p>
        </w:tc>
        <w:tc>
          <w:tcPr>
            <w:tcW w:w="550" w:type="dxa"/>
            <w:vMerge w:val="restart"/>
            <w:shd w:val="clear" w:color="auto" w:fill="auto"/>
            <w:vAlign w:val="center"/>
          </w:tcPr>
          <w:p>
            <w:pPr>
              <w:widowControl/>
              <w:spacing w:line="300" w:lineRule="exact"/>
              <w:jc w:val="center"/>
              <w:textAlignment w:val="center"/>
              <w:rPr>
                <w:rFonts w:hint="default" w:ascii="方正仿宋_GBK" w:hAnsi="方正仿宋_GB2312" w:eastAsia="方正仿宋_GBK" w:cs="方正仿宋_GB2312"/>
                <w:color w:val="000000"/>
                <w:sz w:val="24"/>
                <w:szCs w:val="24"/>
                <w:highlight w:val="none"/>
                <w:lang w:val="en-US" w:eastAsia="zh-CN"/>
              </w:rPr>
            </w:pPr>
            <w:r>
              <w:rPr>
                <w:rFonts w:hint="eastAsia" w:ascii="方正仿宋_GBK" w:hAnsi="方正仿宋_GB2312" w:eastAsia="方正仿宋_GBK" w:cs="方正仿宋_GB2312"/>
                <w:color w:val="000000"/>
                <w:sz w:val="24"/>
                <w:szCs w:val="24"/>
                <w:highlight w:val="none"/>
                <w:lang w:val="en-US" w:eastAsia="zh-CN"/>
              </w:rPr>
              <w:t>1</w:t>
            </w:r>
          </w:p>
        </w:tc>
        <w:tc>
          <w:tcPr>
            <w:tcW w:w="6640" w:type="dxa"/>
            <w:shd w:val="clear" w:color="auto" w:fill="auto"/>
            <w:vAlign w:val="center"/>
          </w:tcPr>
          <w:p>
            <w:pPr>
              <w:widowControl/>
              <w:spacing w:line="300" w:lineRule="exact"/>
              <w:textAlignment w:val="center"/>
              <w:rPr>
                <w:rFonts w:hint="eastAsia" w:ascii="方正仿宋_GBK" w:hAnsi="方正仿宋_GB2312" w:eastAsia="方正仿宋_GBK" w:cs="方正仿宋_GB2312"/>
                <w:color w:val="000000"/>
                <w:kern w:val="0"/>
                <w:sz w:val="24"/>
                <w:szCs w:val="24"/>
                <w:highlight w:val="none"/>
              </w:rPr>
            </w:pPr>
            <w:r>
              <w:rPr>
                <w:rFonts w:hint="eastAsia" w:ascii="方正仿宋_GBK" w:hAnsi="方正仿宋_GB2312" w:eastAsia="方正仿宋_GBK" w:cs="方正仿宋_GB2312"/>
                <w:color w:val="000000"/>
                <w:kern w:val="0"/>
                <w:sz w:val="24"/>
                <w:szCs w:val="24"/>
                <w:highlight w:val="none"/>
                <w:lang w:val="en-US" w:eastAsia="zh-CN"/>
              </w:rPr>
              <w:t>负责组织公司风险管理体系的建设规划研究；负责完善公司风险管理体系；负责组织私募基金及投资项目的风险识别、评估、监测、应对；负责组织风控团队配合业务部门完成风险项目的处置；负责公司日常业务的风险管理；负责对公司其他部门风控管理工作提供咨询、建议并监督。</w:t>
            </w:r>
          </w:p>
        </w:tc>
        <w:tc>
          <w:tcPr>
            <w:tcW w:w="6025" w:type="dxa"/>
            <w:shd w:val="clear" w:color="auto" w:fill="auto"/>
            <w:vAlign w:val="center"/>
          </w:tcPr>
          <w:p>
            <w:pPr>
              <w:widowControl/>
              <w:spacing w:line="300" w:lineRule="exact"/>
              <w:textAlignment w:val="center"/>
              <w:rPr>
                <w:rFonts w:hint="eastAsia" w:ascii="方正仿宋_GBK" w:hAnsi="方正仿宋_GB2312" w:eastAsia="方正仿宋_GBK" w:cs="方正仿宋_GB2312"/>
                <w:color w:val="000000"/>
                <w:kern w:val="0"/>
                <w:sz w:val="24"/>
                <w:szCs w:val="24"/>
                <w:highlight w:val="none"/>
              </w:rPr>
            </w:pPr>
            <w:r>
              <w:rPr>
                <w:rFonts w:hint="eastAsia" w:ascii="方正仿宋_GBK" w:hAnsi="方正仿宋_GB2312" w:eastAsia="方正仿宋_GBK" w:cs="方正仿宋_GB2312"/>
                <w:color w:val="000000"/>
                <w:kern w:val="0"/>
                <w:sz w:val="24"/>
                <w:szCs w:val="24"/>
                <w:highlight w:val="none"/>
                <w:lang w:val="en-US" w:eastAsia="zh-CN"/>
              </w:rPr>
              <w:t>风险、金融等相关专业；具有5年以上相关工作经历，1年以上对应职务层级管理工作经历；熟悉基金行业监管制度体系及私募股权基金风险管理，熟悉国有企业风险和内控管理要求；具备法律职业资格者优先。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35" w:hRule="atLeast"/>
          <w:jc w:val="center"/>
        </w:trPr>
        <w:tc>
          <w:tcPr>
            <w:tcW w:w="544" w:type="dxa"/>
            <w:shd w:val="clear" w:color="auto" w:fill="auto"/>
            <w:vAlign w:val="center"/>
          </w:tcPr>
          <w:p>
            <w:pPr>
              <w:widowControl/>
              <w:spacing w:line="300" w:lineRule="exact"/>
              <w:jc w:val="center"/>
              <w:textAlignment w:val="center"/>
              <w:rPr>
                <w:rFonts w:hint="default" w:ascii="方正仿宋_GBK" w:hAnsi="方正仿宋_GB2312" w:eastAsia="方正仿宋_GBK" w:cs="方正仿宋_GB2312"/>
                <w:color w:val="000000"/>
                <w:sz w:val="24"/>
                <w:szCs w:val="24"/>
                <w:highlight w:val="none"/>
                <w:lang w:val="en-US" w:eastAsia="zh-CN"/>
              </w:rPr>
            </w:pPr>
            <w:r>
              <w:rPr>
                <w:rFonts w:hint="eastAsia" w:ascii="方正仿宋_GBK" w:hAnsi="方正仿宋_GB2312" w:eastAsia="方正仿宋_GBK" w:cs="方正仿宋_GB2312"/>
                <w:color w:val="000000"/>
                <w:sz w:val="24"/>
                <w:szCs w:val="24"/>
                <w:highlight w:val="none"/>
                <w:lang w:val="en-US" w:eastAsia="zh-CN"/>
              </w:rPr>
              <w:t>4</w:t>
            </w:r>
          </w:p>
        </w:tc>
        <w:tc>
          <w:tcPr>
            <w:tcW w:w="947" w:type="dxa"/>
            <w:vMerge w:val="continue"/>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highlight w:val="none"/>
              </w:rPr>
            </w:pPr>
          </w:p>
        </w:tc>
        <w:tc>
          <w:tcPr>
            <w:tcW w:w="913"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kern w:val="0"/>
                <w:sz w:val="24"/>
                <w:szCs w:val="24"/>
                <w:highlight w:val="none"/>
                <w:lang w:val="en-US" w:eastAsia="zh-CN"/>
              </w:rPr>
            </w:pPr>
            <w:r>
              <w:rPr>
                <w:rFonts w:hint="eastAsia" w:ascii="方正仿宋_GBK" w:hAnsi="方正仿宋_GB2312" w:eastAsia="方正仿宋_GBK" w:cs="方正仿宋_GB2312"/>
                <w:color w:val="000000"/>
                <w:kern w:val="0"/>
                <w:sz w:val="24"/>
                <w:szCs w:val="24"/>
                <w:highlight w:val="none"/>
                <w:lang w:val="en-US" w:eastAsia="zh-CN"/>
              </w:rPr>
              <w:t>风险管理岗</w:t>
            </w:r>
          </w:p>
        </w:tc>
        <w:tc>
          <w:tcPr>
            <w:tcW w:w="550" w:type="dxa"/>
            <w:vMerge w:val="continue"/>
            <w:tcBorders/>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sz w:val="24"/>
                <w:szCs w:val="24"/>
                <w:highlight w:val="none"/>
                <w:lang w:val="en-US" w:eastAsia="zh-CN"/>
              </w:rPr>
            </w:pPr>
          </w:p>
        </w:tc>
        <w:tc>
          <w:tcPr>
            <w:tcW w:w="6640" w:type="dxa"/>
            <w:shd w:val="clear" w:color="auto" w:fill="auto"/>
            <w:vAlign w:val="center"/>
          </w:tcPr>
          <w:p>
            <w:pPr>
              <w:widowControl/>
              <w:spacing w:line="300" w:lineRule="exact"/>
              <w:textAlignment w:val="center"/>
              <w:rPr>
                <w:rFonts w:hint="eastAsia" w:ascii="方正仿宋_GBK" w:hAnsi="方正仿宋_GB2312" w:eastAsia="方正仿宋_GBK" w:cs="方正仿宋_GB2312"/>
                <w:color w:val="000000"/>
                <w:kern w:val="0"/>
                <w:sz w:val="24"/>
                <w:szCs w:val="24"/>
                <w:highlight w:val="none"/>
              </w:rPr>
            </w:pPr>
            <w:r>
              <w:rPr>
                <w:rFonts w:hint="eastAsia" w:ascii="方正仿宋_GBK" w:hAnsi="方正仿宋_GB2312" w:eastAsia="方正仿宋_GBK" w:cs="方正仿宋_GB2312"/>
                <w:color w:val="000000"/>
                <w:kern w:val="0"/>
                <w:sz w:val="24"/>
                <w:szCs w:val="24"/>
                <w:highlight w:val="none"/>
                <w:lang w:val="en-US" w:eastAsia="zh-CN"/>
              </w:rPr>
              <w:t>负责公司风险管理体系建设规划研究；负责完善公司风险管理体系；负责私募基金及投资项目风险识别、评估、监测、应对；配合业务部门完成风险项目的处置；参与公司日常业务的风险管理；负责对公司其他部门风控管理工作提供咨询、建议并监督。</w:t>
            </w:r>
          </w:p>
        </w:tc>
        <w:tc>
          <w:tcPr>
            <w:tcW w:w="6025" w:type="dxa"/>
            <w:shd w:val="clear" w:color="auto" w:fill="auto"/>
            <w:vAlign w:val="center"/>
          </w:tcPr>
          <w:p>
            <w:pPr>
              <w:widowControl/>
              <w:spacing w:line="300" w:lineRule="exact"/>
              <w:textAlignment w:val="center"/>
              <w:rPr>
                <w:rFonts w:hint="eastAsia" w:ascii="方正仿宋_GBK" w:hAnsi="方正仿宋_GB2312" w:eastAsia="方正仿宋_GBK" w:cs="方正仿宋_GB2312"/>
                <w:color w:val="000000"/>
                <w:kern w:val="0"/>
                <w:sz w:val="24"/>
                <w:szCs w:val="24"/>
                <w:highlight w:val="none"/>
              </w:rPr>
            </w:pPr>
            <w:r>
              <w:rPr>
                <w:rFonts w:hint="eastAsia" w:ascii="方正仿宋_GBK" w:hAnsi="方正仿宋_GB2312" w:eastAsia="方正仿宋_GBK" w:cs="方正仿宋_GB2312"/>
                <w:color w:val="000000"/>
                <w:kern w:val="0"/>
                <w:sz w:val="24"/>
                <w:szCs w:val="24"/>
                <w:highlight w:val="none"/>
                <w:lang w:val="en-US" w:eastAsia="zh-CN"/>
              </w:rPr>
              <w:t>风险、金融等相关专业；具有3年以上相关岗位工作经验；熟悉基金行业监管制度体系及私募股权基金风险管理，熟悉国有企业风险和内控管理要求；具备法律职业资格者优先。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277" w:hRule="atLeast"/>
          <w:jc w:val="center"/>
        </w:trPr>
        <w:tc>
          <w:tcPr>
            <w:tcW w:w="544" w:type="dxa"/>
            <w:shd w:val="clear" w:color="auto" w:fill="auto"/>
            <w:vAlign w:val="center"/>
          </w:tcPr>
          <w:p>
            <w:pPr>
              <w:widowControl/>
              <w:spacing w:line="300" w:lineRule="exact"/>
              <w:jc w:val="center"/>
              <w:textAlignment w:val="center"/>
              <w:rPr>
                <w:rFonts w:hint="default" w:ascii="方正仿宋_GBK" w:hAnsi="方正仿宋_GB2312" w:eastAsia="方正仿宋_GBK" w:cs="方正仿宋_GB2312"/>
                <w:color w:val="000000"/>
                <w:sz w:val="24"/>
                <w:szCs w:val="24"/>
                <w:highlight w:val="none"/>
                <w:lang w:val="en-US" w:eastAsia="zh-CN"/>
              </w:rPr>
            </w:pPr>
            <w:r>
              <w:rPr>
                <w:rFonts w:hint="eastAsia" w:ascii="方正仿宋_GBK" w:hAnsi="方正仿宋_GB2312" w:eastAsia="方正仿宋_GBK" w:cs="方正仿宋_GB2312"/>
                <w:color w:val="000000"/>
                <w:sz w:val="24"/>
                <w:szCs w:val="24"/>
                <w:highlight w:val="none"/>
                <w:lang w:val="en-US" w:eastAsia="zh-CN"/>
              </w:rPr>
              <w:t>5</w:t>
            </w:r>
          </w:p>
        </w:tc>
        <w:tc>
          <w:tcPr>
            <w:tcW w:w="947"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kern w:val="0"/>
                <w:sz w:val="24"/>
                <w:szCs w:val="24"/>
                <w:highlight w:val="none"/>
                <w:lang w:val="en-US" w:eastAsia="zh-CN"/>
              </w:rPr>
            </w:pPr>
            <w:r>
              <w:rPr>
                <w:rFonts w:hint="eastAsia" w:ascii="方正仿宋_GBK" w:hAnsi="方正仿宋_GB2312" w:eastAsia="方正仿宋_GBK" w:cs="方正仿宋_GB2312"/>
                <w:color w:val="000000"/>
                <w:kern w:val="0"/>
                <w:sz w:val="24"/>
                <w:szCs w:val="24"/>
                <w:highlight w:val="none"/>
                <w:lang w:val="en-US" w:eastAsia="zh-CN"/>
              </w:rPr>
              <w:t>综合管理部</w:t>
            </w:r>
          </w:p>
        </w:tc>
        <w:tc>
          <w:tcPr>
            <w:tcW w:w="913"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kern w:val="0"/>
                <w:sz w:val="24"/>
                <w:szCs w:val="24"/>
                <w:highlight w:val="none"/>
                <w:lang w:val="en-US" w:eastAsia="zh-CN"/>
              </w:rPr>
            </w:pPr>
            <w:r>
              <w:rPr>
                <w:rFonts w:hint="eastAsia" w:ascii="方正仿宋_GBK" w:hAnsi="方正仿宋_GB2312" w:eastAsia="方正仿宋_GBK" w:cs="方正仿宋_GB2312"/>
                <w:color w:val="000000"/>
                <w:kern w:val="0"/>
                <w:sz w:val="24"/>
                <w:szCs w:val="24"/>
                <w:highlight w:val="none"/>
                <w:lang w:val="en-US" w:eastAsia="zh-CN"/>
              </w:rPr>
              <w:t>综合财务岗</w:t>
            </w:r>
          </w:p>
        </w:tc>
        <w:tc>
          <w:tcPr>
            <w:tcW w:w="550" w:type="dxa"/>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sz w:val="24"/>
                <w:szCs w:val="24"/>
                <w:highlight w:val="none"/>
                <w:lang w:val="en-US" w:eastAsia="zh-CN"/>
              </w:rPr>
            </w:pPr>
            <w:r>
              <w:rPr>
                <w:rFonts w:hint="eastAsia" w:ascii="方正仿宋_GBK" w:hAnsi="方正仿宋_GB2312" w:eastAsia="方正仿宋_GBK" w:cs="方正仿宋_GB2312"/>
                <w:color w:val="000000"/>
                <w:sz w:val="24"/>
                <w:szCs w:val="24"/>
                <w:highlight w:val="none"/>
                <w:lang w:val="en-US" w:eastAsia="zh-CN"/>
              </w:rPr>
              <w:t>1</w:t>
            </w:r>
          </w:p>
        </w:tc>
        <w:tc>
          <w:tcPr>
            <w:tcW w:w="6640" w:type="dxa"/>
            <w:shd w:val="clear" w:color="auto" w:fill="auto"/>
            <w:vAlign w:val="center"/>
          </w:tcPr>
          <w:p>
            <w:pPr>
              <w:widowControl/>
              <w:spacing w:line="300" w:lineRule="exact"/>
              <w:textAlignment w:val="center"/>
              <w:rPr>
                <w:rFonts w:hint="eastAsia" w:ascii="方正仿宋_GBK" w:hAnsi="方正仿宋_GB2312" w:eastAsia="方正仿宋_GBK" w:cs="方正仿宋_GB2312"/>
                <w:color w:val="000000"/>
                <w:kern w:val="0"/>
                <w:sz w:val="24"/>
                <w:szCs w:val="24"/>
                <w:highlight w:val="none"/>
              </w:rPr>
            </w:pPr>
            <w:r>
              <w:rPr>
                <w:rFonts w:hint="eastAsia" w:ascii="方正仿宋_GBK" w:hAnsi="方正仿宋_GB2312" w:eastAsia="方正仿宋_GBK" w:cs="方正仿宋_GB2312"/>
                <w:color w:val="000000"/>
                <w:kern w:val="0"/>
                <w:sz w:val="24"/>
                <w:szCs w:val="24"/>
                <w:highlight w:val="none"/>
                <w:lang w:val="en-US" w:eastAsia="zh-CN"/>
              </w:rPr>
              <w:t>负责对会计核算相关工作进行复核审核；负责公司税务管理；负责公司资金管理及资金收支工作；负责公司内外部财务迎审、迎检等工作；参与公司财务管理体系研究及制度建设等；参与对基金财务的专业管理，监督、指导基金财务工作；参与对公司经营管理、基金设立、项目投资等方面提供财务决策支持。</w:t>
            </w:r>
          </w:p>
        </w:tc>
        <w:tc>
          <w:tcPr>
            <w:tcW w:w="6025" w:type="dxa"/>
            <w:shd w:val="clear" w:color="auto" w:fill="auto"/>
            <w:vAlign w:val="center"/>
          </w:tcPr>
          <w:p>
            <w:pPr>
              <w:widowControl/>
              <w:spacing w:line="300" w:lineRule="exact"/>
              <w:textAlignment w:val="center"/>
              <w:rPr>
                <w:rFonts w:hint="eastAsia" w:ascii="方正仿宋_GBK" w:hAnsi="方正仿宋_GB2312" w:eastAsia="方正仿宋_GBK" w:cs="方正仿宋_GB2312"/>
                <w:color w:val="000000"/>
                <w:kern w:val="0"/>
                <w:sz w:val="24"/>
                <w:szCs w:val="24"/>
                <w:highlight w:val="none"/>
              </w:rPr>
            </w:pPr>
            <w:r>
              <w:rPr>
                <w:rFonts w:hint="eastAsia" w:ascii="方正仿宋_GBK" w:hAnsi="方正仿宋_GB2312" w:eastAsia="方正仿宋_GBK" w:cs="方正仿宋_GB2312"/>
                <w:color w:val="000000"/>
                <w:kern w:val="0"/>
                <w:sz w:val="24"/>
                <w:szCs w:val="24"/>
                <w:highlight w:val="none"/>
                <w:lang w:val="en-US" w:eastAsia="zh-CN"/>
              </w:rPr>
              <w:t>财务会计、经济、金融等相关专业；具有3年以上会计核算、税收筹划、财务分析等财务工作经验，具备私募股权基金公司财务工作经验优先；熟悉会计核算、税收筹划等制度及工作流程；具备基金从业资格优先，有CPA、CFA、FRM资格证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2404" w:type="dxa"/>
            <w:gridSpan w:val="3"/>
            <w:shd w:val="clear" w:color="auto" w:fill="auto"/>
            <w:vAlign w:val="center"/>
          </w:tcPr>
          <w:p>
            <w:pPr>
              <w:widowControl/>
              <w:spacing w:line="300" w:lineRule="exact"/>
              <w:jc w:val="center"/>
              <w:textAlignment w:val="center"/>
              <w:rPr>
                <w:rFonts w:ascii="方正仿宋_GBK" w:hAnsi="方正仿宋_GB2312" w:eastAsia="方正仿宋_GBK" w:cs="方正仿宋_GB2312"/>
                <w:b/>
                <w:bCs/>
                <w:color w:val="000000"/>
                <w:sz w:val="24"/>
                <w:szCs w:val="24"/>
                <w:highlight w:val="none"/>
              </w:rPr>
            </w:pPr>
            <w:r>
              <w:rPr>
                <w:rFonts w:hint="eastAsia" w:ascii="方正仿宋_GBK" w:hAnsi="方正仿宋_GB2312" w:eastAsia="方正仿宋_GBK" w:cs="方正仿宋_GB2312"/>
                <w:b/>
                <w:bCs/>
                <w:color w:val="000000"/>
                <w:kern w:val="0"/>
                <w:sz w:val="24"/>
                <w:szCs w:val="24"/>
                <w:highlight w:val="none"/>
              </w:rPr>
              <w:t>合计</w:t>
            </w:r>
          </w:p>
        </w:tc>
        <w:tc>
          <w:tcPr>
            <w:tcW w:w="13215" w:type="dxa"/>
            <w:gridSpan w:val="3"/>
            <w:shd w:val="clear" w:color="auto" w:fill="auto"/>
            <w:noWrap/>
            <w:vAlign w:val="center"/>
          </w:tcPr>
          <w:p>
            <w:pPr>
              <w:spacing w:line="300" w:lineRule="exact"/>
              <w:jc w:val="center"/>
              <w:rPr>
                <w:rFonts w:ascii="方正仿宋_GBK" w:hAnsi="方正仿宋_GB2312" w:eastAsia="方正仿宋_GBK" w:cs="方正仿宋_GB2312"/>
                <w:b/>
                <w:bCs/>
                <w:color w:val="000000"/>
                <w:sz w:val="24"/>
                <w:szCs w:val="24"/>
                <w:highlight w:val="none"/>
              </w:rPr>
            </w:pPr>
            <w:r>
              <w:rPr>
                <w:rFonts w:hint="eastAsia" w:ascii="方正仿宋_GBK" w:hAnsi="方正仿宋_GB2312" w:eastAsia="方正仿宋_GBK" w:cs="方正仿宋_GB2312"/>
                <w:b w:val="0"/>
                <w:bCs w:val="0"/>
                <w:color w:val="000000"/>
                <w:sz w:val="24"/>
                <w:szCs w:val="24"/>
                <w:highlight w:val="none"/>
                <w:lang w:val="en-US" w:eastAsia="zh-CN"/>
              </w:rPr>
              <w:t>共4人</w:t>
            </w:r>
          </w:p>
        </w:tc>
      </w:tr>
    </w:tbl>
    <w:p/>
    <w:p/>
    <w:p/>
    <w:p/>
    <w:p/>
    <w:p/>
    <w:p/>
    <w:p/>
    <w:p/>
    <w:p/>
    <w:p/>
    <w:p/>
    <w:p/>
    <w:p/>
    <w:tbl>
      <w:tblPr>
        <w:tblStyle w:val="5"/>
        <w:tblW w:w="156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4"/>
        <w:gridCol w:w="946"/>
        <w:gridCol w:w="913"/>
        <w:gridCol w:w="546"/>
        <w:gridCol w:w="6641"/>
        <w:gridCol w:w="6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5619" w:type="dxa"/>
            <w:gridSpan w:val="6"/>
            <w:shd w:val="clear" w:color="auto" w:fill="auto"/>
            <w:vAlign w:val="center"/>
          </w:tcPr>
          <w:p>
            <w:pPr>
              <w:widowControl/>
              <w:spacing w:line="300" w:lineRule="exact"/>
              <w:jc w:val="left"/>
              <w:textAlignment w:val="center"/>
              <w:rPr>
                <w:rFonts w:ascii="方正仿宋_GBK" w:hAnsi="方正仿宋_GB2312" w:eastAsia="方正仿宋_GBK" w:cs="方正仿宋_GB2312"/>
                <w:b/>
                <w:bCs/>
                <w:color w:val="000000"/>
                <w:sz w:val="24"/>
                <w:szCs w:val="24"/>
              </w:rPr>
            </w:pPr>
            <w:r>
              <w:rPr>
                <w:rFonts w:hint="eastAsia" w:ascii="方正仿宋_GBK" w:hAnsi="方正仿宋_GB2312" w:eastAsia="方正仿宋_GBK" w:cs="方正仿宋_GB2312"/>
                <w:b/>
                <w:bCs/>
                <w:color w:val="000000"/>
                <w:sz w:val="24"/>
                <w:szCs w:val="24"/>
              </w:rPr>
              <w:t>国网英大碳资产管理（上海）有限公司：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44" w:type="dxa"/>
            <w:shd w:val="clear" w:color="auto" w:fill="auto"/>
            <w:vAlign w:val="center"/>
          </w:tcPr>
          <w:p>
            <w:pPr>
              <w:widowControl/>
              <w:spacing w:line="300" w:lineRule="exact"/>
              <w:jc w:val="center"/>
              <w:textAlignment w:val="center"/>
              <w:rPr>
                <w:rFonts w:ascii="方正仿宋_GBK" w:hAnsi="方正仿宋_GB2312" w:eastAsia="方正仿宋_GBK" w:cs="方正仿宋_GB2312"/>
                <w:b/>
                <w:bCs/>
                <w:color w:val="000000"/>
                <w:kern w:val="0"/>
                <w:sz w:val="24"/>
                <w:szCs w:val="24"/>
              </w:rPr>
            </w:pPr>
            <w:r>
              <w:rPr>
                <w:rFonts w:hint="eastAsia" w:ascii="方正仿宋_GBK" w:hAnsi="方正仿宋_GB2312" w:eastAsia="方正仿宋_GBK" w:cs="方正仿宋_GB2312"/>
                <w:b/>
                <w:bCs/>
                <w:color w:val="000000"/>
                <w:kern w:val="0"/>
                <w:sz w:val="24"/>
                <w:szCs w:val="24"/>
              </w:rPr>
              <w:t>序号</w:t>
            </w:r>
          </w:p>
        </w:tc>
        <w:tc>
          <w:tcPr>
            <w:tcW w:w="946" w:type="dxa"/>
            <w:shd w:val="clear" w:color="auto" w:fill="auto"/>
            <w:vAlign w:val="center"/>
          </w:tcPr>
          <w:p>
            <w:pPr>
              <w:widowControl/>
              <w:spacing w:line="300" w:lineRule="exact"/>
              <w:jc w:val="center"/>
              <w:textAlignment w:val="center"/>
              <w:rPr>
                <w:rFonts w:ascii="方正仿宋_GBK" w:hAnsi="方正仿宋_GB2312" w:eastAsia="方正仿宋_GBK" w:cs="方正仿宋_GB2312"/>
                <w:b/>
                <w:bCs/>
                <w:color w:val="000000"/>
                <w:kern w:val="0"/>
                <w:sz w:val="24"/>
                <w:szCs w:val="24"/>
              </w:rPr>
            </w:pPr>
            <w:r>
              <w:rPr>
                <w:rFonts w:hint="eastAsia" w:ascii="方正仿宋_GBK" w:hAnsi="方正仿宋_GB2312" w:eastAsia="方正仿宋_GBK" w:cs="方正仿宋_GB2312"/>
                <w:b/>
                <w:bCs/>
                <w:color w:val="000000"/>
                <w:kern w:val="0"/>
                <w:sz w:val="24"/>
                <w:szCs w:val="24"/>
              </w:rPr>
              <w:t>部门</w:t>
            </w:r>
          </w:p>
        </w:tc>
        <w:tc>
          <w:tcPr>
            <w:tcW w:w="913" w:type="dxa"/>
            <w:shd w:val="clear" w:color="auto" w:fill="auto"/>
            <w:vAlign w:val="center"/>
          </w:tcPr>
          <w:p>
            <w:pPr>
              <w:widowControl/>
              <w:spacing w:line="300" w:lineRule="exact"/>
              <w:jc w:val="center"/>
              <w:textAlignment w:val="center"/>
              <w:rPr>
                <w:rFonts w:ascii="方正仿宋_GBK" w:hAnsi="方正仿宋_GB2312" w:eastAsia="方正仿宋_GBK" w:cs="方正仿宋_GB2312"/>
                <w:b/>
                <w:bCs/>
                <w:color w:val="000000"/>
                <w:kern w:val="0"/>
                <w:sz w:val="24"/>
                <w:szCs w:val="24"/>
              </w:rPr>
            </w:pPr>
            <w:r>
              <w:rPr>
                <w:rFonts w:hint="eastAsia" w:ascii="方正仿宋_GBK" w:hAnsi="方正仿宋_GB2312" w:eastAsia="方正仿宋_GBK" w:cs="方正仿宋_GB2312"/>
                <w:b/>
                <w:bCs/>
                <w:color w:val="000000"/>
                <w:kern w:val="0"/>
                <w:sz w:val="24"/>
                <w:szCs w:val="24"/>
              </w:rPr>
              <w:t>岗位名称</w:t>
            </w:r>
          </w:p>
        </w:tc>
        <w:tc>
          <w:tcPr>
            <w:tcW w:w="546" w:type="dxa"/>
            <w:shd w:val="clear" w:color="auto" w:fill="auto"/>
            <w:vAlign w:val="center"/>
          </w:tcPr>
          <w:p>
            <w:pPr>
              <w:widowControl/>
              <w:spacing w:line="300" w:lineRule="exact"/>
              <w:jc w:val="center"/>
              <w:textAlignment w:val="center"/>
              <w:rPr>
                <w:rFonts w:ascii="方正仿宋_GBK" w:hAnsi="方正仿宋_GB2312" w:eastAsia="方正仿宋_GBK" w:cs="方正仿宋_GB2312"/>
                <w:b/>
                <w:bCs/>
                <w:color w:val="000000"/>
                <w:kern w:val="0"/>
                <w:sz w:val="24"/>
                <w:szCs w:val="24"/>
              </w:rPr>
            </w:pPr>
            <w:r>
              <w:rPr>
                <w:rFonts w:hint="eastAsia" w:ascii="方正仿宋_GBK" w:hAnsi="方正仿宋_GB2312" w:eastAsia="方正仿宋_GBK" w:cs="方正仿宋_GB2312"/>
                <w:b/>
                <w:bCs/>
                <w:color w:val="000000"/>
                <w:kern w:val="0"/>
                <w:sz w:val="24"/>
                <w:szCs w:val="24"/>
              </w:rPr>
              <w:t>人数</w:t>
            </w:r>
          </w:p>
        </w:tc>
        <w:tc>
          <w:tcPr>
            <w:tcW w:w="6641" w:type="dxa"/>
            <w:shd w:val="clear" w:color="auto" w:fill="auto"/>
            <w:vAlign w:val="center"/>
          </w:tcPr>
          <w:p>
            <w:pPr>
              <w:widowControl/>
              <w:spacing w:line="300" w:lineRule="exact"/>
              <w:jc w:val="center"/>
              <w:textAlignment w:val="center"/>
              <w:rPr>
                <w:rFonts w:ascii="方正仿宋_GBK" w:hAnsi="方正仿宋_GB2312" w:eastAsia="方正仿宋_GBK" w:cs="方正仿宋_GB2312"/>
                <w:b/>
                <w:bCs/>
                <w:color w:val="000000"/>
                <w:kern w:val="0"/>
                <w:sz w:val="24"/>
                <w:szCs w:val="24"/>
              </w:rPr>
            </w:pPr>
            <w:r>
              <w:rPr>
                <w:rFonts w:hint="eastAsia" w:ascii="方正仿宋_GBK" w:hAnsi="方正仿宋_GB2312" w:eastAsia="方正仿宋_GBK" w:cs="方正仿宋_GB2312"/>
                <w:b/>
                <w:bCs/>
                <w:color w:val="000000"/>
                <w:kern w:val="0"/>
                <w:sz w:val="24"/>
                <w:szCs w:val="24"/>
              </w:rPr>
              <w:t>岗位职责</w:t>
            </w:r>
          </w:p>
        </w:tc>
        <w:tc>
          <w:tcPr>
            <w:tcW w:w="6029" w:type="dxa"/>
            <w:shd w:val="clear" w:color="auto" w:fill="auto"/>
            <w:vAlign w:val="center"/>
          </w:tcPr>
          <w:p>
            <w:pPr>
              <w:widowControl/>
              <w:spacing w:line="300" w:lineRule="exact"/>
              <w:jc w:val="center"/>
              <w:textAlignment w:val="center"/>
              <w:rPr>
                <w:rFonts w:ascii="方正仿宋_GBK" w:hAnsi="方正仿宋_GB2312" w:eastAsia="方正仿宋_GBK" w:cs="方正仿宋_GB2312"/>
                <w:b/>
                <w:bCs/>
                <w:color w:val="000000"/>
                <w:kern w:val="0"/>
                <w:sz w:val="24"/>
                <w:szCs w:val="24"/>
              </w:rPr>
            </w:pPr>
            <w:r>
              <w:rPr>
                <w:rFonts w:hint="eastAsia" w:ascii="方正仿宋_GBK" w:hAnsi="方正仿宋_GB2312" w:eastAsia="方正仿宋_GBK" w:cs="方正仿宋_GB2312"/>
                <w:b/>
                <w:bCs/>
                <w:color w:val="000000"/>
                <w:kern w:val="0"/>
                <w:sz w:val="24"/>
                <w:szCs w:val="24"/>
              </w:rPr>
              <w:t>任职条件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44"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1</w:t>
            </w:r>
          </w:p>
        </w:tc>
        <w:tc>
          <w:tcPr>
            <w:tcW w:w="946" w:type="dxa"/>
            <w:vMerge w:val="restart"/>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公司</w:t>
            </w:r>
          </w:p>
          <w:p>
            <w:pPr>
              <w:widowControl/>
              <w:spacing w:line="300" w:lineRule="exact"/>
              <w:jc w:val="center"/>
              <w:textAlignment w:val="center"/>
              <w:rPr>
                <w:rFonts w:hint="eastAsia" w:ascii="方正仿宋_GBK" w:hAnsi="方正仿宋_GB2312" w:eastAsia="方正仿宋_GBK" w:cs="方正仿宋_GB2312"/>
                <w:color w:val="000000"/>
                <w:kern w:val="0"/>
                <w:sz w:val="24"/>
                <w:szCs w:val="24"/>
                <w:lang w:eastAsia="zh-CN"/>
              </w:rPr>
            </w:pPr>
            <w:r>
              <w:rPr>
                <w:rFonts w:hint="eastAsia" w:ascii="方正仿宋_GBK" w:hAnsi="方正仿宋_GB2312" w:eastAsia="方正仿宋_GBK" w:cs="方正仿宋_GB2312"/>
                <w:color w:val="000000"/>
                <w:kern w:val="0"/>
                <w:sz w:val="24"/>
                <w:szCs w:val="24"/>
                <w:lang w:eastAsia="zh-CN"/>
              </w:rPr>
              <w:t>高管</w:t>
            </w:r>
          </w:p>
        </w:tc>
        <w:tc>
          <w:tcPr>
            <w:tcW w:w="913" w:type="dxa"/>
            <w:shd w:val="clear" w:color="auto" w:fill="auto"/>
            <w:vAlign w:val="center"/>
          </w:tcPr>
          <w:p>
            <w:pPr>
              <w:widowControl/>
              <w:spacing w:line="300" w:lineRule="exact"/>
              <w:jc w:val="center"/>
              <w:textAlignment w:val="center"/>
              <w:rPr>
                <w:rFonts w:ascii="方正仿宋_GBK" w:hAnsi="宋体" w:eastAsia="方正仿宋_GBK"/>
                <w:color w:val="000000"/>
                <w:kern w:val="0"/>
                <w:sz w:val="24"/>
                <w:szCs w:val="24"/>
              </w:rPr>
            </w:pPr>
            <w:r>
              <w:rPr>
                <w:rFonts w:hint="eastAsia" w:ascii="方正仿宋_GBK" w:hAnsi="宋体" w:eastAsia="方正仿宋_GBK"/>
                <w:color w:val="000000"/>
                <w:kern w:val="0"/>
                <w:sz w:val="24"/>
                <w:szCs w:val="24"/>
              </w:rPr>
              <w:t>市场总监</w:t>
            </w:r>
          </w:p>
        </w:tc>
        <w:tc>
          <w:tcPr>
            <w:tcW w:w="546"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1</w:t>
            </w:r>
          </w:p>
        </w:tc>
        <w:tc>
          <w:tcPr>
            <w:tcW w:w="6641" w:type="dxa"/>
            <w:shd w:val="clear" w:color="auto" w:fill="auto"/>
            <w:vAlign w:val="center"/>
          </w:tcPr>
          <w:p>
            <w:pPr>
              <w:widowControl/>
              <w:spacing w:line="300" w:lineRule="exact"/>
              <w:textAlignment w:val="center"/>
              <w:rPr>
                <w:rFonts w:hint="eastAsia" w:ascii="方正仿宋_GBK" w:hAnsi="宋体" w:eastAsia="方正仿宋_GBK"/>
                <w:color w:val="000000"/>
                <w:kern w:val="0"/>
                <w:sz w:val="24"/>
                <w:szCs w:val="24"/>
                <w:lang w:eastAsia="zh-CN"/>
              </w:rPr>
            </w:pPr>
            <w:r>
              <w:rPr>
                <w:rFonts w:hint="eastAsia" w:ascii="方正仿宋_GBK" w:hAnsi="宋体" w:eastAsia="方正仿宋_GBK"/>
                <w:color w:val="000000"/>
                <w:kern w:val="0"/>
                <w:sz w:val="24"/>
                <w:szCs w:val="24"/>
              </w:rPr>
              <w:t>负责协助落实集团“五统一”战略部署；组织销售团队深耕下沉电网市场，开展碳管理服务业务和产品的推广；通过整合电力数据、电网渠道、政府关系等优势资源，依托碳资产平台与属地资源，拓展产业链上下游碳市场服务空间</w:t>
            </w:r>
            <w:r>
              <w:rPr>
                <w:rFonts w:hint="eastAsia" w:ascii="方正仿宋_GBK" w:hAnsi="宋体" w:eastAsia="方正仿宋_GBK"/>
                <w:color w:val="000000"/>
                <w:kern w:val="0"/>
                <w:sz w:val="24"/>
                <w:szCs w:val="24"/>
                <w:lang w:eastAsia="zh-CN"/>
              </w:rPr>
              <w:t>。</w:t>
            </w:r>
          </w:p>
        </w:tc>
        <w:tc>
          <w:tcPr>
            <w:tcW w:w="6029" w:type="dxa"/>
            <w:shd w:val="clear" w:color="auto" w:fill="auto"/>
            <w:vAlign w:val="center"/>
          </w:tcPr>
          <w:p>
            <w:pPr>
              <w:widowControl/>
              <w:spacing w:line="300" w:lineRule="exact"/>
              <w:textAlignment w:val="center"/>
              <w:rPr>
                <w:rFonts w:ascii="方正仿宋_GBK" w:hAnsi="宋体" w:eastAsia="方正仿宋_GBK"/>
                <w:color w:val="000000"/>
                <w:kern w:val="0"/>
                <w:sz w:val="24"/>
                <w:szCs w:val="24"/>
              </w:rPr>
            </w:pPr>
            <w:r>
              <w:rPr>
                <w:rFonts w:hint="eastAsia" w:ascii="方正仿宋_GBK" w:hAnsi="宋体" w:eastAsia="方正仿宋_GBK"/>
                <w:color w:val="000000"/>
                <w:kern w:val="0"/>
                <w:sz w:val="24"/>
                <w:szCs w:val="24"/>
              </w:rPr>
              <w:t>环境工程、能源、电力、金融、市场管理等相关专业；具备</w:t>
            </w:r>
            <w:r>
              <w:rPr>
                <w:rFonts w:ascii="方正仿宋_GBK" w:hAnsi="宋体" w:eastAsia="方正仿宋_GBK"/>
                <w:color w:val="000000"/>
                <w:kern w:val="0"/>
                <w:sz w:val="24"/>
                <w:szCs w:val="24"/>
              </w:rPr>
              <w:t>8</w:t>
            </w:r>
            <w:r>
              <w:rPr>
                <w:rFonts w:hint="eastAsia" w:ascii="方正仿宋_GBK" w:hAnsi="宋体" w:eastAsia="方正仿宋_GBK"/>
                <w:color w:val="000000"/>
                <w:kern w:val="0"/>
                <w:sz w:val="24"/>
                <w:szCs w:val="24"/>
              </w:rPr>
              <w:t>年以上营销、咨询工作经验、具备5年以上管理经验；拥有服务国家电网经验，熟悉电网企业的工作方式，具有面向电网的销售服务经验；具备团队组织带领能力，且对于碳业务开拓有资源整合意识与主动创新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44"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2</w:t>
            </w:r>
          </w:p>
        </w:tc>
        <w:tc>
          <w:tcPr>
            <w:tcW w:w="946" w:type="dxa"/>
            <w:vMerge w:val="continue"/>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kern w:val="0"/>
                <w:sz w:val="24"/>
                <w:szCs w:val="24"/>
              </w:rPr>
            </w:pPr>
          </w:p>
        </w:tc>
        <w:tc>
          <w:tcPr>
            <w:tcW w:w="913" w:type="dxa"/>
            <w:shd w:val="clear" w:color="auto" w:fill="auto"/>
            <w:vAlign w:val="center"/>
          </w:tcPr>
          <w:p>
            <w:pPr>
              <w:widowControl/>
              <w:spacing w:line="300" w:lineRule="exact"/>
              <w:jc w:val="center"/>
              <w:textAlignment w:val="center"/>
              <w:rPr>
                <w:rFonts w:ascii="方正仿宋_GBK" w:hAnsi="宋体" w:eastAsia="方正仿宋_GBK"/>
                <w:color w:val="000000"/>
                <w:kern w:val="0"/>
                <w:sz w:val="24"/>
                <w:szCs w:val="24"/>
              </w:rPr>
            </w:pPr>
            <w:r>
              <w:rPr>
                <w:rFonts w:hint="eastAsia" w:ascii="方正仿宋_GBK" w:hAnsi="宋体" w:eastAsia="方正仿宋_GBK"/>
                <w:color w:val="000000"/>
                <w:kern w:val="0"/>
                <w:sz w:val="24"/>
                <w:szCs w:val="24"/>
              </w:rPr>
              <w:t>产品总监</w:t>
            </w:r>
          </w:p>
        </w:tc>
        <w:tc>
          <w:tcPr>
            <w:tcW w:w="546"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kern w:val="0"/>
                <w:sz w:val="24"/>
                <w:szCs w:val="24"/>
              </w:rPr>
            </w:pPr>
            <w:r>
              <w:rPr>
                <w:rFonts w:hint="eastAsia" w:ascii="方正仿宋_GBK" w:hAnsi="方正仿宋_GB2312" w:eastAsia="方正仿宋_GBK" w:cs="方正仿宋_GB2312"/>
                <w:color w:val="000000"/>
                <w:kern w:val="0"/>
                <w:sz w:val="24"/>
                <w:szCs w:val="24"/>
              </w:rPr>
              <w:t>1</w:t>
            </w:r>
          </w:p>
        </w:tc>
        <w:tc>
          <w:tcPr>
            <w:tcW w:w="6641" w:type="dxa"/>
            <w:shd w:val="clear" w:color="auto" w:fill="auto"/>
            <w:vAlign w:val="center"/>
          </w:tcPr>
          <w:p>
            <w:pPr>
              <w:widowControl/>
              <w:spacing w:line="300" w:lineRule="exact"/>
              <w:textAlignment w:val="center"/>
              <w:rPr>
                <w:rFonts w:ascii="方正仿宋_GBK" w:hAnsi="宋体" w:eastAsia="方正仿宋_GBK"/>
                <w:color w:val="000000"/>
                <w:kern w:val="0"/>
                <w:sz w:val="24"/>
                <w:szCs w:val="24"/>
              </w:rPr>
            </w:pPr>
            <w:r>
              <w:rPr>
                <w:rFonts w:hint="eastAsia" w:ascii="方正仿宋_GBK" w:hAnsi="宋体" w:eastAsia="方正仿宋_GBK"/>
                <w:color w:val="000000"/>
                <w:kern w:val="0"/>
                <w:sz w:val="24"/>
                <w:szCs w:val="24"/>
              </w:rPr>
              <w:t>负责协助面向政府部委、国网总部等相关政策层面开展政策对接；带领团队结合市场需求，创设有利于公司业务发展、具备电网企业特点的碳管理服务产品。</w:t>
            </w:r>
          </w:p>
        </w:tc>
        <w:tc>
          <w:tcPr>
            <w:tcW w:w="6029" w:type="dxa"/>
            <w:shd w:val="clear" w:color="auto" w:fill="auto"/>
            <w:vAlign w:val="center"/>
          </w:tcPr>
          <w:p>
            <w:pPr>
              <w:widowControl/>
              <w:spacing w:line="300" w:lineRule="exact"/>
              <w:textAlignment w:val="center"/>
              <w:rPr>
                <w:rFonts w:ascii="方正仿宋_GBK" w:hAnsi="宋体" w:eastAsia="方正仿宋_GBK"/>
                <w:color w:val="000000"/>
                <w:kern w:val="0"/>
                <w:sz w:val="24"/>
                <w:szCs w:val="24"/>
              </w:rPr>
            </w:pPr>
            <w:r>
              <w:rPr>
                <w:rFonts w:hint="eastAsia" w:ascii="方正仿宋_GBK" w:hAnsi="宋体" w:eastAsia="方正仿宋_GBK"/>
                <w:color w:val="000000"/>
                <w:kern w:val="0"/>
                <w:sz w:val="24"/>
                <w:szCs w:val="24"/>
              </w:rPr>
              <w:t>环境工程、能源、电力、金融、市场管理等相关专业；具备</w:t>
            </w:r>
            <w:r>
              <w:rPr>
                <w:rFonts w:ascii="方正仿宋_GBK" w:hAnsi="宋体" w:eastAsia="方正仿宋_GBK"/>
                <w:color w:val="000000"/>
                <w:kern w:val="0"/>
                <w:sz w:val="24"/>
                <w:szCs w:val="24"/>
              </w:rPr>
              <w:t>8</w:t>
            </w:r>
            <w:r>
              <w:rPr>
                <w:rFonts w:hint="eastAsia" w:ascii="方正仿宋_GBK" w:hAnsi="宋体" w:eastAsia="方正仿宋_GBK"/>
                <w:color w:val="000000"/>
                <w:kern w:val="0"/>
                <w:sz w:val="24"/>
                <w:szCs w:val="24"/>
              </w:rPr>
              <w:t>年以上产品开发工作经验、具备5年以上管理经验；具备环境领域背景，拥有服务电网经验，对双碳政策层面具有高度敏感性，能够带领团队并组织实施产品研发落地。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44"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ascii="方正仿宋_GBK" w:hAnsi="方正仿宋_GB2312" w:eastAsia="方正仿宋_GBK" w:cs="方正仿宋_GB2312"/>
                <w:color w:val="000000"/>
                <w:kern w:val="0"/>
                <w:sz w:val="24"/>
                <w:szCs w:val="24"/>
              </w:rPr>
              <w:t>3</w:t>
            </w:r>
          </w:p>
        </w:tc>
        <w:tc>
          <w:tcPr>
            <w:tcW w:w="946"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咨询服务中心</w:t>
            </w:r>
          </w:p>
        </w:tc>
        <w:tc>
          <w:tcPr>
            <w:tcW w:w="913"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宋体" w:eastAsia="方正仿宋_GBK"/>
                <w:color w:val="000000"/>
                <w:kern w:val="0"/>
                <w:sz w:val="24"/>
                <w:szCs w:val="24"/>
              </w:rPr>
              <w:t>营销经理</w:t>
            </w:r>
          </w:p>
        </w:tc>
        <w:tc>
          <w:tcPr>
            <w:tcW w:w="546"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2</w:t>
            </w:r>
          </w:p>
        </w:tc>
        <w:tc>
          <w:tcPr>
            <w:tcW w:w="6641" w:type="dxa"/>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宋体" w:eastAsia="方正仿宋_GBK"/>
                <w:color w:val="000000"/>
                <w:kern w:val="0"/>
                <w:sz w:val="24"/>
                <w:szCs w:val="24"/>
              </w:rPr>
              <w:t>负责集团化客户的业务开发、方案制定、合同签订和2</w:t>
            </w:r>
            <w:r>
              <w:rPr>
                <w:rFonts w:ascii="方正仿宋_GBK" w:hAnsi="宋体" w:eastAsia="方正仿宋_GBK"/>
                <w:color w:val="000000"/>
                <w:kern w:val="0"/>
                <w:sz w:val="24"/>
                <w:szCs w:val="24"/>
              </w:rPr>
              <w:t>.</w:t>
            </w:r>
            <w:r>
              <w:rPr>
                <w:rFonts w:hint="eastAsia" w:ascii="方正仿宋_GBK" w:hAnsi="宋体" w:eastAsia="方正仿宋_GBK"/>
                <w:color w:val="000000"/>
                <w:kern w:val="0"/>
                <w:sz w:val="24"/>
                <w:szCs w:val="24"/>
              </w:rPr>
              <w:t>客户关系维护与服务；负责协助客户编写相关汇报材料，协调做好支撑工作；深入挖掘客户需求，为公司研发产品迭代更新提供准确的市场信息；完成部门主任布置的工作任务。</w:t>
            </w:r>
          </w:p>
        </w:tc>
        <w:tc>
          <w:tcPr>
            <w:tcW w:w="6029" w:type="dxa"/>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宋体" w:eastAsia="方正仿宋_GBK"/>
                <w:color w:val="000000"/>
                <w:kern w:val="0"/>
                <w:sz w:val="24"/>
                <w:szCs w:val="24"/>
              </w:rPr>
              <w:t>环境工程、能源、电力、金融、市场管理等相关专业；具备5年以上营销、咨询工作经验；具备5年以上营销、咨询、能源、电力、环境产业工作经验或者碳审核、碳交易等低碳领域相关工作经验；拥有服务国家电网经验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44"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ascii="方正仿宋_GBK" w:hAnsi="方正仿宋_GB2312" w:eastAsia="方正仿宋_GBK" w:cs="方正仿宋_GB2312"/>
                <w:color w:val="000000"/>
                <w:kern w:val="0"/>
                <w:sz w:val="24"/>
                <w:szCs w:val="24"/>
              </w:rPr>
              <w:t>4</w:t>
            </w:r>
          </w:p>
        </w:tc>
        <w:tc>
          <w:tcPr>
            <w:tcW w:w="946"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业务运营中心</w:t>
            </w:r>
          </w:p>
        </w:tc>
        <w:tc>
          <w:tcPr>
            <w:tcW w:w="913"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宋体" w:eastAsia="方正仿宋_GBK"/>
                <w:color w:val="000000"/>
                <w:kern w:val="0"/>
                <w:sz w:val="24"/>
                <w:szCs w:val="24"/>
              </w:rPr>
              <w:t>项目经理</w:t>
            </w:r>
          </w:p>
        </w:tc>
        <w:tc>
          <w:tcPr>
            <w:tcW w:w="546"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1</w:t>
            </w:r>
          </w:p>
        </w:tc>
        <w:tc>
          <w:tcPr>
            <w:tcW w:w="6641" w:type="dxa"/>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宋体" w:eastAsia="方正仿宋_GBK"/>
                <w:color w:val="000000"/>
                <w:kern w:val="0"/>
                <w:sz w:val="24"/>
                <w:szCs w:val="24"/>
              </w:rPr>
              <w:t>参与项目管理体系搭建、碳盘查、碳审核、碳排放数据分析及相关文件的编制；有效组织开展项目管理，包括项目计划、过程管理、质量的把控、落地执行、项目结项、信息收集与总结、报告编制等；负责碳资产相关项目评估、资料收集，设计文件、监测报告、申报文件等文件编制；负责客户需求管理，并协助市场团队维护客户关系，协助研发团队提供产品优化信息。</w:t>
            </w:r>
          </w:p>
        </w:tc>
        <w:tc>
          <w:tcPr>
            <w:tcW w:w="6029" w:type="dxa"/>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宋体" w:eastAsia="方正仿宋_GBK"/>
                <w:color w:val="000000"/>
                <w:kern w:val="0"/>
                <w:sz w:val="24"/>
                <w:szCs w:val="24"/>
              </w:rPr>
              <w:t>环境工程、能源、电力、金融、市场管理等相关专业；具有5年及以上行业相关工作经验，拥有服务国家电网经验优先；了解行业的相关政策及要求；善于建立良好的客户关系和合作关系，应变能力强；积极主动、团结协作；有一定的文档撰写能力；良好的客户服务意识和需求管理能力；能适应出差；拥有PMP项目管理资格认证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65" w:hRule="atLeast"/>
          <w:jc w:val="center"/>
        </w:trPr>
        <w:tc>
          <w:tcPr>
            <w:tcW w:w="544"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ascii="方正仿宋_GBK" w:hAnsi="方正仿宋_GB2312" w:eastAsia="方正仿宋_GBK" w:cs="方正仿宋_GB2312"/>
                <w:color w:val="000000"/>
                <w:kern w:val="0"/>
                <w:sz w:val="24"/>
                <w:szCs w:val="24"/>
              </w:rPr>
              <w:t>5</w:t>
            </w:r>
          </w:p>
        </w:tc>
        <w:tc>
          <w:tcPr>
            <w:tcW w:w="946" w:type="dxa"/>
            <w:vMerge w:val="restart"/>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战略研发中心</w:t>
            </w:r>
          </w:p>
        </w:tc>
        <w:tc>
          <w:tcPr>
            <w:tcW w:w="913"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副主任</w:t>
            </w:r>
          </w:p>
        </w:tc>
        <w:tc>
          <w:tcPr>
            <w:tcW w:w="546"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1</w:t>
            </w:r>
          </w:p>
        </w:tc>
        <w:tc>
          <w:tcPr>
            <w:tcW w:w="6641" w:type="dxa"/>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宋体" w:eastAsia="方正仿宋_GBK"/>
                <w:color w:val="000000"/>
                <w:kern w:val="0"/>
                <w:sz w:val="24"/>
                <w:szCs w:val="24"/>
              </w:rPr>
              <w:t>协助公司领导从政策、市场及发展趋势等方面进行决策；根据制定战略发展部整体工作计划、工作方向及工作分解；对本部门的工作任务进行分配和实时监测、调整；根据相关政策、市场动向以及发展趋势等向公司领导提交分；析报告和战略方向建议等提案；根据公司整体任务确定本部门的支撑方向、任务以及路径；根据项目内容进行任务分解并制定工作计划，按照计划进行分工，同时对任务的推进和完成情况进行实时监控和调整；根据公司整体发展方向，把握系统和平台的建设方向、构架以及落地方案的审定；制定研发计划并进行研发预算管理；与集团及国网总部协调相关资源及政策。</w:t>
            </w:r>
          </w:p>
        </w:tc>
        <w:tc>
          <w:tcPr>
            <w:tcW w:w="6029"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方正仿宋_GBK" w:hAnsi="方正仿宋_GB2312" w:eastAsia="方正仿宋_GBK" w:cs="方正仿宋_GB2312"/>
                <w:color w:val="000000"/>
                <w:kern w:val="0"/>
                <w:sz w:val="24"/>
                <w:szCs w:val="24"/>
              </w:rPr>
            </w:pPr>
            <w:r>
              <w:rPr>
                <w:rFonts w:hint="eastAsia" w:ascii="方正仿宋_GBK" w:hAnsi="宋体" w:eastAsia="方正仿宋_GBK"/>
                <w:color w:val="000000"/>
                <w:kern w:val="0"/>
                <w:sz w:val="24"/>
                <w:szCs w:val="24"/>
              </w:rPr>
              <w:t>环境工程、能源、电力、金融、市场管理等相关专业；具备5年及以上相关管理经验；熟悉双碳行业相关知识，熟悉国家电网、熟悉国家相关部委，拥有相关资源。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2" w:hRule="atLeast"/>
          <w:jc w:val="center"/>
        </w:trPr>
        <w:tc>
          <w:tcPr>
            <w:tcW w:w="544"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ascii="方正仿宋_GBK" w:hAnsi="方正仿宋_GB2312" w:eastAsia="方正仿宋_GBK" w:cs="方正仿宋_GB2312"/>
                <w:color w:val="000000"/>
                <w:kern w:val="0"/>
                <w:sz w:val="24"/>
                <w:szCs w:val="24"/>
              </w:rPr>
              <w:t>6</w:t>
            </w:r>
          </w:p>
        </w:tc>
        <w:tc>
          <w:tcPr>
            <w:tcW w:w="946" w:type="dxa"/>
            <w:vMerge w:val="continue"/>
            <w:shd w:val="clear" w:color="auto" w:fill="auto"/>
            <w:noWrap/>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p>
        </w:tc>
        <w:tc>
          <w:tcPr>
            <w:tcW w:w="913"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宋体" w:eastAsia="方正仿宋_GBK"/>
                <w:color w:val="000000"/>
                <w:kern w:val="0"/>
                <w:sz w:val="24"/>
                <w:szCs w:val="24"/>
              </w:rPr>
              <w:t>产品经理</w:t>
            </w:r>
          </w:p>
        </w:tc>
        <w:tc>
          <w:tcPr>
            <w:tcW w:w="546"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ascii="方正仿宋_GBK" w:hAnsi="方正仿宋_GB2312" w:eastAsia="方正仿宋_GBK" w:cs="方正仿宋_GB2312"/>
                <w:color w:val="000000"/>
                <w:kern w:val="0"/>
                <w:sz w:val="24"/>
                <w:szCs w:val="24"/>
              </w:rPr>
              <w:t>1</w:t>
            </w:r>
          </w:p>
        </w:tc>
        <w:tc>
          <w:tcPr>
            <w:tcW w:w="6641" w:type="dxa"/>
            <w:shd w:val="clear" w:color="auto" w:fill="auto"/>
            <w:vAlign w:val="center"/>
          </w:tcPr>
          <w:p>
            <w:pPr>
              <w:widowControl/>
              <w:spacing w:line="300" w:lineRule="exact"/>
              <w:textAlignment w:val="center"/>
              <w:rPr>
                <w:rFonts w:ascii="方正仿宋_GBK" w:hAnsi="宋体" w:eastAsia="方正仿宋_GBK"/>
                <w:color w:val="000000"/>
                <w:kern w:val="0"/>
                <w:sz w:val="24"/>
                <w:szCs w:val="24"/>
              </w:rPr>
            </w:pPr>
            <w:r>
              <w:rPr>
                <w:rFonts w:hint="eastAsia" w:ascii="方正仿宋_GBK" w:hAnsi="宋体" w:eastAsia="方正仿宋_GBK"/>
                <w:color w:val="000000"/>
                <w:kern w:val="0"/>
                <w:sz w:val="24"/>
                <w:szCs w:val="24"/>
              </w:rPr>
              <w:t>负责相关碳业务产品的设计与研发；负责大客户定制化服务；负责产品改进升级及新产品研发工作；负责跟踪产品相关政策、标准、规则最新动向；负责完成产品相关政策解读；负责定期组织产品的员工内训。</w:t>
            </w:r>
          </w:p>
        </w:tc>
        <w:tc>
          <w:tcPr>
            <w:tcW w:w="6029" w:type="dxa"/>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宋体" w:eastAsia="方正仿宋_GBK"/>
                <w:color w:val="000000"/>
                <w:kern w:val="0"/>
                <w:sz w:val="24"/>
                <w:szCs w:val="24"/>
              </w:rPr>
              <w:t>环境工程、能源、电力、金融、市场管理等相关专业；具备3-5年绿色金融相关行业研究经验；拥有服务国家电网经验优先；拥有部委资源优先；</w:t>
            </w:r>
            <w:r>
              <w:rPr>
                <w:rFonts w:hint="eastAsia" w:ascii="方正仿宋_GBK" w:hAnsi="宋体" w:eastAsia="方正仿宋_GBK"/>
                <w:color w:val="000000"/>
                <w:kern w:val="0"/>
                <w:sz w:val="24"/>
                <w:szCs w:val="24"/>
              </w:rPr>
              <w:br w:type="textWrapping"/>
            </w:r>
            <w:r>
              <w:rPr>
                <w:rFonts w:hint="eastAsia" w:ascii="方正仿宋_GBK" w:hAnsi="宋体" w:eastAsia="方正仿宋_GBK"/>
                <w:color w:val="000000"/>
                <w:kern w:val="0"/>
                <w:sz w:val="24"/>
                <w:szCs w:val="24"/>
              </w:rPr>
              <w:t>具有较强的资源整合能力。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1" w:hRule="atLeast"/>
          <w:jc w:val="center"/>
        </w:trPr>
        <w:tc>
          <w:tcPr>
            <w:tcW w:w="544"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ascii="方正仿宋_GBK" w:hAnsi="方正仿宋_GB2312" w:eastAsia="方正仿宋_GBK" w:cs="方正仿宋_GB2312"/>
                <w:color w:val="000000"/>
                <w:kern w:val="0"/>
                <w:sz w:val="24"/>
                <w:szCs w:val="24"/>
              </w:rPr>
              <w:t>7</w:t>
            </w:r>
          </w:p>
        </w:tc>
        <w:tc>
          <w:tcPr>
            <w:tcW w:w="946"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综合保障部</w:t>
            </w:r>
          </w:p>
        </w:tc>
        <w:tc>
          <w:tcPr>
            <w:tcW w:w="913"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副主任</w:t>
            </w:r>
          </w:p>
        </w:tc>
        <w:tc>
          <w:tcPr>
            <w:tcW w:w="546" w:type="dxa"/>
            <w:shd w:val="clear" w:color="auto" w:fill="auto"/>
            <w:vAlign w:val="center"/>
          </w:tcPr>
          <w:p>
            <w:pPr>
              <w:widowControl/>
              <w:spacing w:line="300" w:lineRule="exact"/>
              <w:jc w:val="center"/>
              <w:textAlignment w:val="center"/>
              <w:rPr>
                <w:rFonts w:ascii="方正仿宋_GBK" w:hAnsi="方正仿宋_GB2312" w:eastAsia="方正仿宋_GBK" w:cs="方正仿宋_GB2312"/>
                <w:color w:val="000000"/>
                <w:sz w:val="24"/>
                <w:szCs w:val="24"/>
              </w:rPr>
            </w:pPr>
            <w:r>
              <w:rPr>
                <w:rFonts w:hint="eastAsia" w:ascii="方正仿宋_GBK" w:hAnsi="方正仿宋_GB2312" w:eastAsia="方正仿宋_GBK" w:cs="方正仿宋_GB2312"/>
                <w:color w:val="000000"/>
                <w:kern w:val="0"/>
                <w:sz w:val="24"/>
                <w:szCs w:val="24"/>
              </w:rPr>
              <w:t>1</w:t>
            </w:r>
          </w:p>
        </w:tc>
        <w:tc>
          <w:tcPr>
            <w:tcW w:w="6641" w:type="dxa"/>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宋体" w:eastAsia="方正仿宋_GBK"/>
                <w:color w:val="000000"/>
                <w:kern w:val="0"/>
                <w:sz w:val="24"/>
                <w:szCs w:val="24"/>
              </w:rPr>
              <w:t>制定选用育留的策略并实施，对公司人才队伍的质量负责；梳理总结并推广企业文化，对企业文化宣导的成果负责；负责财务核算决算及审计，确保准确无误、合规；负责对业务进行深入财务分析、定期提供分析报告，给予业务充分的数据支持并提供管理建议；</w:t>
            </w:r>
            <w:r>
              <w:rPr>
                <w:rFonts w:hint="eastAsia" w:ascii="方正仿宋_GBK" w:hAnsi="方正仿宋_GB2312" w:eastAsia="方正仿宋_GBK" w:cs="方正仿宋_GB2312"/>
                <w:color w:val="000000"/>
                <w:sz w:val="24"/>
                <w:szCs w:val="24"/>
              </w:rPr>
              <w:t>负责公司行政事务；负责公司党建、法务、工会等事务。</w:t>
            </w:r>
          </w:p>
        </w:tc>
        <w:tc>
          <w:tcPr>
            <w:tcW w:w="6029" w:type="dxa"/>
            <w:shd w:val="clear" w:color="auto" w:fill="auto"/>
            <w:vAlign w:val="center"/>
          </w:tcPr>
          <w:p>
            <w:pPr>
              <w:widowControl/>
              <w:spacing w:line="300" w:lineRule="exact"/>
              <w:textAlignment w:val="center"/>
              <w:rPr>
                <w:rFonts w:ascii="方正仿宋_GBK" w:hAnsi="方正仿宋_GB2312" w:eastAsia="方正仿宋_GBK" w:cs="方正仿宋_GB2312"/>
                <w:color w:val="000000"/>
                <w:sz w:val="24"/>
                <w:szCs w:val="24"/>
              </w:rPr>
            </w:pPr>
            <w:r>
              <w:rPr>
                <w:rFonts w:hint="eastAsia" w:ascii="方正仿宋_GBK" w:hAnsi="宋体" w:eastAsia="方正仿宋_GBK"/>
                <w:color w:val="000000"/>
                <w:kern w:val="0"/>
                <w:sz w:val="24"/>
                <w:szCs w:val="24"/>
              </w:rPr>
              <w:t>人力资源、心理学、财务管理、行政管理及相关专业；具备10年以上相关经验、其中5年以上管理经验；拥有人力、行政、财务、党建、法务、采购等多方面综合工作经验；抗压能力较强。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8" w:hRule="atLeast"/>
          <w:jc w:val="center"/>
        </w:trPr>
        <w:tc>
          <w:tcPr>
            <w:tcW w:w="2403" w:type="dxa"/>
            <w:gridSpan w:val="3"/>
            <w:shd w:val="clear" w:color="auto" w:fill="auto"/>
            <w:vAlign w:val="center"/>
          </w:tcPr>
          <w:p>
            <w:pPr>
              <w:widowControl/>
              <w:spacing w:line="300" w:lineRule="exact"/>
              <w:jc w:val="center"/>
              <w:textAlignment w:val="center"/>
              <w:rPr>
                <w:rFonts w:hint="eastAsia" w:ascii="方正仿宋_GBK" w:hAnsi="方正仿宋_GB2312" w:eastAsia="方正仿宋_GBK" w:cs="方正仿宋_GB2312"/>
                <w:color w:val="000000"/>
                <w:kern w:val="0"/>
                <w:sz w:val="24"/>
                <w:szCs w:val="24"/>
                <w:lang w:eastAsia="zh-CN"/>
              </w:rPr>
            </w:pPr>
            <w:r>
              <w:rPr>
                <w:rFonts w:hint="eastAsia" w:ascii="方正仿宋_GBK" w:hAnsi="方正仿宋_GB2312" w:eastAsia="方正仿宋_GBK" w:cs="方正仿宋_GB2312"/>
                <w:color w:val="000000"/>
                <w:kern w:val="0"/>
                <w:sz w:val="24"/>
                <w:szCs w:val="24"/>
                <w:lang w:eastAsia="zh-CN"/>
              </w:rPr>
              <w:t>合计</w:t>
            </w:r>
          </w:p>
        </w:tc>
        <w:tc>
          <w:tcPr>
            <w:tcW w:w="13216" w:type="dxa"/>
            <w:gridSpan w:val="3"/>
            <w:shd w:val="clear" w:color="auto" w:fill="auto"/>
            <w:vAlign w:val="center"/>
          </w:tcPr>
          <w:p>
            <w:pPr>
              <w:widowControl/>
              <w:spacing w:line="300" w:lineRule="exact"/>
              <w:jc w:val="center"/>
              <w:textAlignment w:val="center"/>
              <w:rPr>
                <w:rFonts w:hint="eastAsia" w:ascii="方正仿宋_GBK" w:hAnsi="宋体" w:eastAsia="方正仿宋_GBK"/>
                <w:color w:val="000000"/>
                <w:kern w:val="0"/>
                <w:sz w:val="24"/>
                <w:szCs w:val="24"/>
              </w:rPr>
            </w:pPr>
            <w:r>
              <w:rPr>
                <w:rFonts w:hint="eastAsia" w:ascii="方正仿宋_GBK" w:hAnsi="方正仿宋_GB2312" w:eastAsia="方正仿宋_GBK" w:cs="方正仿宋_GB2312"/>
                <w:b w:val="0"/>
                <w:bCs w:val="0"/>
                <w:color w:val="000000"/>
                <w:sz w:val="24"/>
                <w:szCs w:val="24"/>
                <w:highlight w:val="none"/>
                <w:lang w:val="en-US" w:eastAsia="zh-CN"/>
              </w:rPr>
              <w:t>共8人</w:t>
            </w:r>
          </w:p>
        </w:tc>
      </w:tr>
    </w:tbl>
    <w:p/>
    <w:sectPr>
      <w:footerReference r:id="rId3" w:type="default"/>
      <w:pgSz w:w="16838" w:h="11906" w:orient="landscape"/>
      <w:pgMar w:top="1800" w:right="1440" w:bottom="180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wiss"/>
    <w:pitch w:val="default"/>
    <w:sig w:usb0="00000001" w:usb1="080E0000" w:usb2="00000000" w:usb3="00000000" w:csb0="00040000" w:csb1="00000000"/>
  </w:font>
  <w:font w:name="方正仿宋_GB2312">
    <w:altName w:val="仿宋"/>
    <w:panose1 w:val="00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sz w:val="24"/>
                              <w:szCs w:val="24"/>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- 2 -</w:t>
                          </w:r>
                          <w:r>
                            <w:rPr>
                              <w:rFonts w:hint="eastAsia"/>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QVUF0UAgAAFQQAAA4AAABkcnMvZTJvRG9jLnhtbK1TzY7TMBC+I/EO&#10;lu80aRGrqmq6KrsqQqrYlQri7DpOE8l/st0m5QHgDThx4c5z9Tn47CRdBJwQF3s8M56fb75Z3nZK&#10;kpNwvjG6oNNJTonQ3JSNPhT0w/vNizklPjBdMmm0KOhZeHq7ev5s2dqFmJnayFI4giDaL1pb0DoE&#10;u8gyz2uhmJ8YKzSMlXGKBTzdISsdaxFdyWyW5zdZa1xpneHCe2jveyNdpfhVJXh4qCovApEFRW0h&#10;nS6d+3hmqyVbHByzdcOHMtg/VKFYo5H0GuqeBUaOrvkjlGq4M95UYcKNykxVNVykHtDNNP+tm13N&#10;rEi9ABxvrzD5/xeWvzs9OtKUmB0lmimM6PL1y+Xbj8v3z2Qa4WmtX8BrZ+EXutemi66D3kMZu+4q&#10;p+KNfgjsAPp8BVd0gfD4aT6bz3OYOGzjA3Gyp+/W+fBGGEWiUFCH6SVQ2WnrQ+86usRs2mwaKaFn&#10;C6lJW9Cbl6/y9OFqQXCpo4NIXBjCxJb60qMUun039LM35RltOtPzxFu+aVDKlvnwyByIgfJB9vCA&#10;o5IGKc0gUVIb9+lv+uiPecFKSQuiFVRjEyiRbzXmGDk5Cm4U9qOgj+rOgLmYDWpJIj64IEexckZ9&#10;xAasYw6YmObIVNAwinehJzs2iIv1OjmBeZaFrd5ZHkNHeLxdHwPgTChHUHokMJ34APfSnIY9ieT+&#10;9Z28nrZ59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dBVQXRQCAAAVBAAADgAAAAAAAAAB&#10;ACAAAAAfAQAAZHJzL2Uyb0RvYy54bWxQSwUGAAAAAAYABgBZAQAApQUAAAAA&#10;">
              <v:fill on="f" focussize="0,0"/>
              <v:stroke on="f" weight="0.5pt"/>
              <v:imagedata o:title=""/>
              <o:lock v:ext="edit" aspectratio="f"/>
              <v:textbox inset="0mm,0mm,0mm,0mm" style="mso-fit-shape-to-text:t;">
                <w:txbxContent>
                  <w:p>
                    <w:pPr>
                      <w:pStyle w:val="3"/>
                      <w:rPr>
                        <w:sz w:val="24"/>
                        <w:szCs w:val="24"/>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- 2 -</w:t>
                    </w:r>
                    <w:r>
                      <w:rPr>
                        <w:rFonts w:hint="eastAsia"/>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221D"/>
    <w:rsid w:val="000262F0"/>
    <w:rsid w:val="000453F8"/>
    <w:rsid w:val="00051EB7"/>
    <w:rsid w:val="00100685"/>
    <w:rsid w:val="00177CCE"/>
    <w:rsid w:val="001E4496"/>
    <w:rsid w:val="002956D5"/>
    <w:rsid w:val="002A522E"/>
    <w:rsid w:val="00313A89"/>
    <w:rsid w:val="0031704D"/>
    <w:rsid w:val="003B0996"/>
    <w:rsid w:val="003E111A"/>
    <w:rsid w:val="004B7E83"/>
    <w:rsid w:val="00513FF6"/>
    <w:rsid w:val="0057221D"/>
    <w:rsid w:val="00595BB6"/>
    <w:rsid w:val="005D27AC"/>
    <w:rsid w:val="005F5096"/>
    <w:rsid w:val="00650CA8"/>
    <w:rsid w:val="0076177D"/>
    <w:rsid w:val="007A1B94"/>
    <w:rsid w:val="007A4AD1"/>
    <w:rsid w:val="007C05AF"/>
    <w:rsid w:val="007C640F"/>
    <w:rsid w:val="008A3222"/>
    <w:rsid w:val="00906C0D"/>
    <w:rsid w:val="00920451"/>
    <w:rsid w:val="00947775"/>
    <w:rsid w:val="00A030CA"/>
    <w:rsid w:val="00A631D7"/>
    <w:rsid w:val="00A75BD3"/>
    <w:rsid w:val="00AF3795"/>
    <w:rsid w:val="00B17CB6"/>
    <w:rsid w:val="00BA5A00"/>
    <w:rsid w:val="00BA6DE2"/>
    <w:rsid w:val="00BC3590"/>
    <w:rsid w:val="00BC417A"/>
    <w:rsid w:val="00BF071C"/>
    <w:rsid w:val="00C07260"/>
    <w:rsid w:val="00C32949"/>
    <w:rsid w:val="00C83084"/>
    <w:rsid w:val="00C832F0"/>
    <w:rsid w:val="00D56A04"/>
    <w:rsid w:val="00DA5E0A"/>
    <w:rsid w:val="00DB1F8C"/>
    <w:rsid w:val="00E4789A"/>
    <w:rsid w:val="00E74217"/>
    <w:rsid w:val="00E8601B"/>
    <w:rsid w:val="00EB548B"/>
    <w:rsid w:val="00F77B1F"/>
    <w:rsid w:val="0B1066A0"/>
    <w:rsid w:val="16456E06"/>
    <w:rsid w:val="18A16F27"/>
    <w:rsid w:val="2922238E"/>
    <w:rsid w:val="45D7130F"/>
    <w:rsid w:val="4AD7689A"/>
    <w:rsid w:val="4BD35126"/>
    <w:rsid w:val="6F497042"/>
    <w:rsid w:val="7BC86B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7"/>
    <w:qFormat/>
    <w:uiPriority w:val="0"/>
    <w:pPr>
      <w:tabs>
        <w:tab w:val="center" w:pos="4153"/>
        <w:tab w:val="right" w:pos="8306"/>
      </w:tabs>
      <w:snapToGrid w:val="0"/>
      <w:jc w:val="left"/>
    </w:pPr>
    <w:rPr>
      <w:sz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qFormat/>
    <w:uiPriority w:val="0"/>
    <w:rPr>
      <w:rFonts w:ascii="Calibri" w:hAnsi="Calibri" w:eastAsia="宋体" w:cs="宋体"/>
      <w:sz w:val="18"/>
      <w:szCs w:val="21"/>
    </w:rPr>
  </w:style>
  <w:style w:type="character" w:customStyle="1" w:styleId="8">
    <w:name w:val="font81"/>
    <w:basedOn w:val="6"/>
    <w:qFormat/>
    <w:uiPriority w:val="0"/>
    <w:rPr>
      <w:rFonts w:hint="eastAsia" w:ascii="方正仿宋_GBK" w:hAnsi="方正仿宋_GBK" w:eastAsia="方正仿宋_GBK" w:cs="方正仿宋_GBK"/>
      <w:color w:val="FF0000"/>
      <w:sz w:val="28"/>
      <w:szCs w:val="28"/>
      <w:u w:val="none"/>
    </w:rPr>
  </w:style>
  <w:style w:type="character" w:customStyle="1" w:styleId="9">
    <w:name w:val="页眉 Char"/>
    <w:basedOn w:val="6"/>
    <w:link w:val="4"/>
    <w:semiHidden/>
    <w:qFormat/>
    <w:uiPriority w:val="99"/>
    <w:rPr>
      <w:rFonts w:ascii="Calibri" w:hAnsi="Calibri" w:eastAsia="宋体" w:cs="宋体"/>
      <w:sz w:val="18"/>
      <w:szCs w:val="18"/>
    </w:rPr>
  </w:style>
  <w:style w:type="character" w:customStyle="1" w:styleId="10">
    <w:name w:val="批注框文本 Char"/>
    <w:basedOn w:val="6"/>
    <w:link w:val="2"/>
    <w:semiHidden/>
    <w:qFormat/>
    <w:uiPriority w:val="99"/>
    <w:rPr>
      <w:rFonts w:ascii="Calibri" w:hAnsi="Calibri" w:eastAsia="宋体" w:cs="宋体"/>
      <w:sz w:val="18"/>
      <w:szCs w:val="18"/>
    </w:rPr>
  </w:style>
  <w:style w:type="paragraph" w:styleId="11">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13</Pages>
  <Words>1401</Words>
  <Characters>7992</Characters>
  <Lines>66</Lines>
  <Paragraphs>18</Paragraphs>
  <TotalTime>29</TotalTime>
  <ScaleCrop>false</ScaleCrop>
  <LinksUpToDate>false</LinksUpToDate>
  <CharactersWithSpaces>9375</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2022-03-16T05:51:00Z</dcterms:created>
  <dc:creator>郭明慧</dc:creator>
  <cp:lastModifiedBy>admin</cp:lastModifiedBy>
  <cp:lastPrinted>2022-03-24T02:45:00Z</cp:lastPrinted>
  <dcterms:modified xsi:type="dcterms:W3CDTF">2022-03-30T09:28:58Z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